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8046"/>
        <w:gridCol w:w="8046"/>
      </w:tblGrid>
      <w:tr w:rsidR="002F3A91" w:rsidRPr="003D1843">
        <w:tc>
          <w:tcPr>
            <w:tcW w:w="8046" w:type="dxa"/>
          </w:tcPr>
          <w:p w:rsidR="002F3A91" w:rsidRPr="003D1843" w:rsidRDefault="002F3A91" w:rsidP="003D1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n114"/>
            <w:bookmarkStart w:id="1" w:name="_GoBack"/>
            <w:bookmarkEnd w:id="0"/>
            <w:bookmarkEnd w:id="1"/>
          </w:p>
        </w:tc>
        <w:tc>
          <w:tcPr>
            <w:tcW w:w="8046" w:type="dxa"/>
          </w:tcPr>
          <w:p w:rsidR="002F3A91" w:rsidRPr="003D1843" w:rsidRDefault="002F3A91" w:rsidP="003D1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1843">
              <w:rPr>
                <w:rFonts w:ascii="Times New Roman" w:hAnsi="Times New Roman"/>
                <w:lang w:val="ru-RU"/>
              </w:rPr>
              <w:t xml:space="preserve">                                               Дод</w:t>
            </w:r>
            <w:r w:rsidRPr="003D1843">
              <w:rPr>
                <w:rFonts w:ascii="Times New Roman" w:hAnsi="Times New Roman"/>
              </w:rPr>
              <w:t>а</w:t>
            </w:r>
            <w:r w:rsidRPr="003D1843">
              <w:rPr>
                <w:rFonts w:ascii="Times New Roman" w:hAnsi="Times New Roman"/>
                <w:lang w:val="ru-RU"/>
              </w:rPr>
              <w:t>ток до пояснювальної записки</w:t>
            </w:r>
          </w:p>
        </w:tc>
      </w:tr>
    </w:tbl>
    <w:p w:rsidR="002F3A91" w:rsidRDefault="002F3A91" w:rsidP="00230B97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271A" w:rsidRDefault="0008271A" w:rsidP="000827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ПРОГНОЗ ВПЛИВУ</w:t>
      </w:r>
    </w:p>
    <w:p w:rsidR="00572245" w:rsidRDefault="00355924" w:rsidP="003559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реалізації</w:t>
      </w:r>
      <w:r w:rsidRPr="00355924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проєкту </w:t>
      </w:r>
      <w:r w:rsidRPr="0035592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Закону</w:t>
      </w:r>
      <w:r w:rsidRPr="00355924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України «</w:t>
      </w:r>
      <w:r w:rsidR="00572245" w:rsidRPr="00572245">
        <w:rPr>
          <w:rFonts w:ascii="Times New Roman" w:hAnsi="Times New Roman"/>
          <w:b/>
          <w:bCs/>
          <w:color w:val="000000"/>
          <w:sz w:val="28"/>
          <w:szCs w:val="28"/>
        </w:rPr>
        <w:t>Про внесення змін до</w:t>
      </w:r>
      <w:r w:rsidR="00572245" w:rsidRPr="005722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72245" w:rsidRPr="0057224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Кодексу України про адміністративні правопорушення </w:t>
      </w:r>
    </w:p>
    <w:p w:rsidR="00355924" w:rsidRPr="00355924" w:rsidRDefault="00572245" w:rsidP="003559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2245">
        <w:rPr>
          <w:rFonts w:ascii="Times New Roman" w:hAnsi="Times New Roman"/>
          <w:b/>
          <w:bCs/>
          <w:color w:val="000000"/>
          <w:sz w:val="28"/>
          <w:szCs w:val="28"/>
        </w:rPr>
        <w:t>щодо проведення 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удово-психіатричної експертизи </w:t>
      </w:r>
      <w:r w:rsidRPr="00572245">
        <w:rPr>
          <w:rFonts w:ascii="Times New Roman" w:hAnsi="Times New Roman"/>
          <w:b/>
          <w:bCs/>
          <w:color w:val="000000"/>
          <w:sz w:val="28"/>
          <w:szCs w:val="28"/>
        </w:rPr>
        <w:t>в адміністративному провадженні</w:t>
      </w:r>
      <w:r w:rsidR="00355924" w:rsidRPr="0035592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BF5B34" w:rsidRPr="008074A7" w:rsidRDefault="00BF5B34" w:rsidP="00BF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71A" w:rsidRDefault="0008271A" w:rsidP="00BF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D30" w:rsidRPr="00597EDF" w:rsidRDefault="004B2D30" w:rsidP="004B2D3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97EDF">
        <w:rPr>
          <w:rFonts w:ascii="Times New Roman" w:hAnsi="Times New Roman"/>
          <w:b/>
          <w:sz w:val="28"/>
          <w:szCs w:val="28"/>
        </w:rPr>
        <w:t xml:space="preserve">1. Суть проєкту </w:t>
      </w:r>
      <w:r w:rsidR="00355924" w:rsidRPr="00597EDF">
        <w:rPr>
          <w:rFonts w:ascii="Times New Roman" w:hAnsi="Times New Roman"/>
          <w:b/>
          <w:sz w:val="28"/>
          <w:szCs w:val="28"/>
        </w:rPr>
        <w:t>Закону</w:t>
      </w:r>
    </w:p>
    <w:p w:rsidR="00597EDF" w:rsidRPr="00597EDF" w:rsidRDefault="00597EDF" w:rsidP="00597EDF">
      <w:pPr>
        <w:pStyle w:val="a5"/>
        <w:keepLines w:val="0"/>
        <w:spacing w:before="0" w:after="0"/>
        <w:ind w:firstLine="709"/>
        <w:jc w:val="both"/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</w:pPr>
      <w:r w:rsidRPr="00597ED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Проєкт Закону України «</w:t>
      </w:r>
      <w:r w:rsidR="00572245" w:rsidRPr="00572245">
        <w:rPr>
          <w:rFonts w:ascii="Times New Roman" w:hAnsi="Times New Roman"/>
          <w:b w:val="0"/>
          <w:bCs/>
          <w:kern w:val="1"/>
          <w:sz w:val="28"/>
          <w:szCs w:val="28"/>
          <w:lang w:eastAsia="hi-IN" w:bidi="hi-IN"/>
        </w:rPr>
        <w:t>Про внесення змін до Кодексу України про адміністративні правопорушення щодо проведення с</w:t>
      </w:r>
      <w:r w:rsidR="00572245">
        <w:rPr>
          <w:rFonts w:ascii="Times New Roman" w:hAnsi="Times New Roman"/>
          <w:b w:val="0"/>
          <w:bCs/>
          <w:kern w:val="1"/>
          <w:sz w:val="28"/>
          <w:szCs w:val="28"/>
          <w:lang w:eastAsia="hi-IN" w:bidi="hi-IN"/>
        </w:rPr>
        <w:t xml:space="preserve">удово-психіатричної експертизи </w:t>
      </w:r>
      <w:r w:rsidR="00572245" w:rsidRPr="00572245">
        <w:rPr>
          <w:rFonts w:ascii="Times New Roman" w:hAnsi="Times New Roman"/>
          <w:b w:val="0"/>
          <w:bCs/>
          <w:kern w:val="1"/>
          <w:sz w:val="28"/>
          <w:szCs w:val="28"/>
          <w:lang w:eastAsia="hi-IN" w:bidi="hi-IN"/>
        </w:rPr>
        <w:t>в адміністративному провадженні</w:t>
      </w:r>
      <w:r w:rsidRPr="00597ED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» (далі – про</w:t>
      </w:r>
      <w:r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є</w:t>
      </w:r>
      <w:r w:rsidRPr="00597ED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кт Закону) розроблено на виконання </w:t>
      </w:r>
      <w:r w:rsidRPr="00597EDF">
        <w:rPr>
          <w:rFonts w:ascii="Times New Roman" w:hAnsi="Times New Roman"/>
          <w:b w:val="0"/>
          <w:sz w:val="28"/>
          <w:szCs w:val="28"/>
        </w:rPr>
        <w:t>підпункту 1 пункту 13 Плану заходів з реалізації Національної стратегії у сфері прав людини на період до 2020 року, затвердженого розпорядженням Кабінету Міністрів України від 23 листопада 2015 рок</w:t>
      </w:r>
      <w:r w:rsidR="00170BAC">
        <w:rPr>
          <w:rFonts w:ascii="Times New Roman" w:hAnsi="Times New Roman"/>
          <w:b w:val="0"/>
          <w:sz w:val="28"/>
          <w:szCs w:val="28"/>
        </w:rPr>
        <w:t xml:space="preserve">у № 1393-р, з метою приведення </w:t>
      </w:r>
      <w:r w:rsidRPr="00597EDF">
        <w:rPr>
          <w:rFonts w:ascii="Times New Roman" w:hAnsi="Times New Roman"/>
          <w:b w:val="0"/>
          <w:sz w:val="28"/>
          <w:szCs w:val="28"/>
          <w:lang w:eastAsia="en-US"/>
        </w:rPr>
        <w:t xml:space="preserve">положень Кодексу України про адміністративні правопорушення (далі – КУпАП) у відповідність до міжнародних стандартів в частині </w:t>
      </w:r>
      <w:r w:rsidRPr="00597ED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забезпечення недопущення необґрунтованого поміщення осіб, щодо яких розглядаються справи про адміністративні правопорушення, до медичних закладів для проведення судово-психіатричної експертизи.</w:t>
      </w:r>
    </w:p>
    <w:p w:rsidR="00597EDF" w:rsidRPr="00597EDF" w:rsidRDefault="00597EDF" w:rsidP="00597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Проєкт Закону спрямований на впровадження чіткої процедури призначення судово-психіатричної експертизи на підставі достатніх даних та забезпечення дотримання прав людини.</w:t>
      </w:r>
    </w:p>
    <w:p w:rsidR="004B2D30" w:rsidRPr="00597EDF" w:rsidRDefault="004B2D30" w:rsidP="00D03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D30" w:rsidRPr="004B2D30" w:rsidRDefault="004B2D30" w:rsidP="004B2D3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B2D30">
        <w:rPr>
          <w:rFonts w:ascii="Times New Roman" w:hAnsi="Times New Roman"/>
          <w:b/>
          <w:sz w:val="28"/>
          <w:szCs w:val="28"/>
        </w:rPr>
        <w:t>2. Вплив на ключові інтереси усіх заінтересованих сторін</w:t>
      </w:r>
    </w:p>
    <w:p w:rsidR="002F3A91" w:rsidRPr="008B7BEA" w:rsidRDefault="002F3A91" w:rsidP="002B2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</w:p>
    <w:tbl>
      <w:tblPr>
        <w:tblW w:w="4964" w:type="pct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0"/>
        <w:gridCol w:w="3681"/>
        <w:gridCol w:w="1240"/>
        <w:gridCol w:w="1454"/>
        <w:gridCol w:w="7407"/>
      </w:tblGrid>
      <w:tr w:rsidR="002F3A91" w:rsidRPr="003D1843" w:rsidTr="0005182D">
        <w:trPr>
          <w:trHeight w:val="1058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91" w:rsidRPr="0008271A" w:rsidRDefault="002F3A91" w:rsidP="004F089C">
            <w:pPr>
              <w:spacing w:after="9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bookmarkStart w:id="2" w:name="n116"/>
            <w:bookmarkStart w:id="3" w:name="n117"/>
            <w:bookmarkEnd w:id="2"/>
            <w:bookmarkEnd w:id="3"/>
            <w:r w:rsidRPr="0008271A">
              <w:rPr>
                <w:rFonts w:ascii="Times New Roman" w:hAnsi="Times New Roman"/>
                <w:sz w:val="28"/>
                <w:szCs w:val="28"/>
              </w:rPr>
              <w:t>Заінтересована сторона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91" w:rsidRPr="0008271A" w:rsidRDefault="002F3A91" w:rsidP="004F089C">
            <w:pPr>
              <w:spacing w:before="90" w:after="9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271A">
              <w:rPr>
                <w:rFonts w:ascii="Times New Roman" w:hAnsi="Times New Roman"/>
                <w:sz w:val="28"/>
                <w:szCs w:val="28"/>
              </w:rPr>
              <w:t>Ключовий інтерес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91" w:rsidRPr="0008271A" w:rsidRDefault="002F3A91" w:rsidP="0005182D">
            <w:pPr>
              <w:spacing w:before="90" w:after="90" w:line="240" w:lineRule="auto"/>
              <w:ind w:left="147" w:right="162" w:hanging="14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271A">
              <w:rPr>
                <w:rFonts w:ascii="Times New Roman" w:hAnsi="Times New Roman"/>
                <w:sz w:val="28"/>
                <w:szCs w:val="28"/>
              </w:rPr>
              <w:t xml:space="preserve">Очікуваний (позитивний чи негативний) вплив на ключовий інтерес із зазначенням передбачуваної динаміки змін </w:t>
            </w:r>
            <w:r w:rsidRPr="0008271A">
              <w:rPr>
                <w:rFonts w:ascii="Times New Roman" w:hAnsi="Times New Roman"/>
                <w:sz w:val="28"/>
                <w:szCs w:val="28"/>
              </w:rPr>
              <w:lastRenderedPageBreak/>
              <w:t>основних показників </w:t>
            </w:r>
            <w:r w:rsidRPr="0008271A">
              <w:rPr>
                <w:rFonts w:ascii="Times New Roman" w:hAnsi="Times New Roman"/>
                <w:sz w:val="28"/>
                <w:szCs w:val="28"/>
              </w:rPr>
              <w:br/>
              <w:t>(у числовому або якісному вимірі)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91" w:rsidRPr="0008271A" w:rsidRDefault="002F3A91" w:rsidP="004B2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27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Пояснення </w:t>
            </w:r>
          </w:p>
          <w:p w:rsidR="002F3A91" w:rsidRPr="0008271A" w:rsidRDefault="002F3A91" w:rsidP="004B2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271A">
              <w:rPr>
                <w:rFonts w:ascii="Times New Roman" w:hAnsi="Times New Roman"/>
                <w:sz w:val="28"/>
                <w:szCs w:val="28"/>
              </w:rPr>
              <w:t>(чому саме реалізація акта призведе до очікуваного впливу)</w:t>
            </w:r>
          </w:p>
        </w:tc>
      </w:tr>
      <w:tr w:rsidR="002F3A91" w:rsidRPr="003D1843" w:rsidTr="0005182D">
        <w:trPr>
          <w:trHeight w:val="379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91" w:rsidRPr="0008271A" w:rsidRDefault="002F3A91" w:rsidP="004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91" w:rsidRPr="0008271A" w:rsidRDefault="002F3A91" w:rsidP="004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A91" w:rsidRPr="0008271A" w:rsidRDefault="002F3A91" w:rsidP="0005182D">
            <w:pPr>
              <w:spacing w:after="0" w:line="240" w:lineRule="auto"/>
              <w:ind w:right="107" w:firstLine="14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271A">
              <w:rPr>
                <w:rFonts w:ascii="Times New Roman" w:hAnsi="Times New Roman"/>
                <w:sz w:val="28"/>
                <w:szCs w:val="28"/>
              </w:rPr>
              <w:t xml:space="preserve">короткостроковий вплив </w:t>
            </w:r>
          </w:p>
          <w:p w:rsidR="002F3A91" w:rsidRPr="0008271A" w:rsidRDefault="002F3A91" w:rsidP="0005182D">
            <w:pPr>
              <w:spacing w:after="0" w:line="240" w:lineRule="auto"/>
              <w:ind w:right="107" w:firstLine="14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271A">
              <w:rPr>
                <w:rFonts w:ascii="Times New Roman" w:hAnsi="Times New Roman"/>
                <w:sz w:val="28"/>
                <w:szCs w:val="28"/>
              </w:rPr>
              <w:t>(до року)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A91" w:rsidRPr="0008271A" w:rsidRDefault="002F3A91" w:rsidP="0005182D">
            <w:pPr>
              <w:spacing w:after="0" w:line="240" w:lineRule="auto"/>
              <w:ind w:right="107" w:firstLine="14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271A">
              <w:rPr>
                <w:rFonts w:ascii="Times New Roman" w:hAnsi="Times New Roman"/>
                <w:sz w:val="28"/>
                <w:szCs w:val="28"/>
              </w:rPr>
              <w:t xml:space="preserve">середньо строковий вплив </w:t>
            </w:r>
          </w:p>
          <w:p w:rsidR="002F3A91" w:rsidRPr="0008271A" w:rsidRDefault="002F3A91" w:rsidP="0005182D">
            <w:pPr>
              <w:spacing w:after="0" w:line="240" w:lineRule="auto"/>
              <w:ind w:right="107" w:firstLine="14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271A">
              <w:rPr>
                <w:rFonts w:ascii="Times New Roman" w:hAnsi="Times New Roman"/>
                <w:sz w:val="28"/>
                <w:szCs w:val="28"/>
              </w:rPr>
              <w:t>(більше року)</w:t>
            </w:r>
          </w:p>
        </w:tc>
        <w:tc>
          <w:tcPr>
            <w:tcW w:w="23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F3A91" w:rsidRPr="0008271A" w:rsidRDefault="002F3A91" w:rsidP="004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A91" w:rsidRPr="003D1843" w:rsidTr="0005182D">
        <w:trPr>
          <w:trHeight w:val="1543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91" w:rsidRPr="0008271A" w:rsidRDefault="00B25F83" w:rsidP="00190B52">
            <w:pPr>
              <w:spacing w:after="0" w:line="240" w:lineRule="auto"/>
              <w:ind w:left="147" w:right="1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7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Держава </w:t>
            </w:r>
            <w:r w:rsidR="00376ED0" w:rsidRPr="000827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суспільство </w:t>
            </w:r>
            <w:r w:rsidRPr="0008271A">
              <w:rPr>
                <w:rFonts w:ascii="Times New Roman" w:hAnsi="Times New Roman"/>
                <w:color w:val="000000"/>
                <w:sz w:val="28"/>
                <w:szCs w:val="28"/>
              </w:rPr>
              <w:t>в цілому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91" w:rsidRPr="00DB2AE2" w:rsidRDefault="0085180A" w:rsidP="004B2D30">
            <w:pPr>
              <w:spacing w:after="0" w:line="240" w:lineRule="auto"/>
              <w:ind w:left="147" w:right="228" w:firstLine="2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Н</w:t>
            </w:r>
            <w:r w:rsidR="00DF7438"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едопущення безпідставного призначення судово-психіатричної експертизи, а також поміщення до психіатричної лікарні особи, яка притягається до адміністративної відповідальності та як наслідок порушення законних прав такої особи</w:t>
            </w:r>
          </w:p>
          <w:p w:rsidR="002F3A91" w:rsidRPr="00DB2AE2" w:rsidRDefault="002F3A91" w:rsidP="004B2D30">
            <w:pPr>
              <w:spacing w:after="0" w:line="240" w:lineRule="auto"/>
              <w:ind w:left="147" w:right="228" w:firstLine="2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A91" w:rsidRPr="00DB2AE2" w:rsidRDefault="002F3A91" w:rsidP="004F089C">
            <w:pPr>
              <w:pStyle w:val="ListParagraph"/>
              <w:spacing w:after="0" w:line="240" w:lineRule="auto"/>
              <w:ind w:left="289" w:right="175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B2AE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A91" w:rsidRPr="00DB2AE2" w:rsidRDefault="002F3A91" w:rsidP="004F089C">
            <w:pPr>
              <w:spacing w:after="0" w:line="240" w:lineRule="auto"/>
              <w:ind w:left="147" w:right="175" w:firstLine="142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B2AE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438" w:rsidRPr="00DB2AE2" w:rsidRDefault="00DF7438" w:rsidP="0005182D">
            <w:pPr>
              <w:widowControl w:val="0"/>
              <w:suppressAutoHyphens/>
              <w:spacing w:after="0" w:line="240" w:lineRule="auto"/>
              <w:ind w:left="122" w:right="179" w:firstLine="445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На сьогодні нормами КУпАП не визначено порядок та підстави проведення судово-психіатричної експертизи, що слугувало підставою прийняття рішення Європейським судом з прав людини (далі – ЄСПЛ) за результатами розгляду справи «Заїченко проти України (№ 2)» </w:t>
            </w:r>
            <w:r w:rsidR="0005182D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br/>
            </w:r>
            <w:r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(</w:t>
            </w:r>
            <w:r w:rsidR="007C0943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з</w:t>
            </w:r>
            <w:r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аяв</w:t>
            </w:r>
            <w:r w:rsidR="007C0943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а № 45797/09) </w:t>
            </w:r>
            <w:r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на користь заявника.</w:t>
            </w:r>
          </w:p>
          <w:p w:rsidR="00DF7438" w:rsidRPr="00DB2AE2" w:rsidRDefault="00DF7438" w:rsidP="0005182D">
            <w:pPr>
              <w:widowControl w:val="0"/>
              <w:suppressAutoHyphens/>
              <w:spacing w:after="0" w:line="240" w:lineRule="auto"/>
              <w:ind w:left="122" w:right="179" w:firstLine="445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val="ru-RU" w:eastAsia="hi-IN" w:bidi="hi-IN"/>
              </w:rPr>
              <w:t xml:space="preserve">Так, у </w:t>
            </w:r>
            <w:proofErr w:type="gramStart"/>
            <w:r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ішенні ЄСПЛ у вказаній справі наголошується на тому, що жодне позбавлення свободи особи, яка вважається психічно хворою, не може розглядатися як таке, що відповідає підпункту «е» пункту 1 статті 5 Конвенції про захист прав людини і основоположних свобод (далі – Конвенція), якщо воно було призначене без висновку медичного експерта. Це правило є застосовним навіть тоді, якщо метою тримання заявника є саме отримання медичного висновку. У термінових випадках або у випадках, коли особу затримано внаслідок агресивної поведінки, прийнятним може бути отримання такого висновку одразу після затримання. В усіх інших </w:t>
            </w:r>
            <w:r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lastRenderedPageBreak/>
              <w:t>випадках необхідною є попередня консультація з лікарем.</w:t>
            </w:r>
          </w:p>
          <w:p w:rsidR="00DF7438" w:rsidRPr="00DB2AE2" w:rsidRDefault="00DF7438" w:rsidP="0005182D">
            <w:pPr>
              <w:widowControl w:val="0"/>
              <w:suppressAutoHyphens/>
              <w:spacing w:after="0" w:line="240" w:lineRule="auto"/>
              <w:ind w:left="122" w:right="179" w:firstLine="445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Також ЄСПЛ у зазначеній вище справі вказує на те, що єдиною підставою поміщення заявника до психіатричної лікарні були сумніви судді щодо його стану психічного здоров’я, у зв’язку з чим суддя призначив стаціонарну психіатричну експертизу заявника, що означало поміщення його до психіатричної лікарні на строк до 30 діб, без отримання попереднього медичного висновку та за відсутності у матеріалах справи будь-яких медичних або інших документів, які б обумовлювали таке рішення.</w:t>
            </w:r>
          </w:p>
          <w:p w:rsidR="00DF7438" w:rsidRPr="00DB2AE2" w:rsidRDefault="00DF7438" w:rsidP="0005182D">
            <w:pPr>
              <w:widowControl w:val="0"/>
              <w:suppressAutoHyphens/>
              <w:spacing w:after="0" w:line="240" w:lineRule="auto"/>
              <w:ind w:left="122" w:right="179" w:firstLine="445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ЄСПЛ у своєму висновку зазначив про існування прогалини у відповідному національному законодавстві, що стосується проведення судово-психіатричної експертизи в рамках адміністративного провадження та фактично відсутності врегулювання даного питання, що спричинило порушення пункту 1 статті 5 Конвенції.</w:t>
            </w:r>
          </w:p>
          <w:p w:rsidR="004A3496" w:rsidRPr="00DB2AE2" w:rsidRDefault="00DF7438" w:rsidP="0005182D">
            <w:pPr>
              <w:widowControl w:val="0"/>
              <w:suppressAutoHyphens/>
              <w:spacing w:after="0" w:line="240" w:lineRule="auto"/>
              <w:ind w:left="122" w:right="179" w:firstLine="445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Таким чином положення проєкту Закону, передусім спрямовані саме на недопущення безпідставного призначення судово-психіатричної експертизи, а також поміщення до психіатричної лікарні особи, яка притягається до адміністративної відповідальності та як наслідок пору</w:t>
            </w:r>
            <w:r w:rsidR="00472607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шення законних прав такої особи.</w:t>
            </w:r>
            <w:r w:rsidRPr="00DB2AE2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2F3A91" w:rsidRDefault="002F3A91" w:rsidP="006B67B1">
      <w:pPr>
        <w:rPr>
          <w:sz w:val="24"/>
          <w:szCs w:val="24"/>
        </w:rPr>
      </w:pPr>
    </w:p>
    <w:p w:rsidR="002F3A91" w:rsidRDefault="002F3A91" w:rsidP="005C241E">
      <w:pPr>
        <w:rPr>
          <w:sz w:val="24"/>
          <w:szCs w:val="24"/>
        </w:rPr>
      </w:pPr>
    </w:p>
    <w:p w:rsidR="002F3A91" w:rsidRPr="007940C4" w:rsidRDefault="002F3A91" w:rsidP="00190B52">
      <w:pPr>
        <w:spacing w:after="0"/>
        <w:rPr>
          <w:rFonts w:ascii="Times New Roman" w:hAnsi="Times New Roman"/>
          <w:sz w:val="28"/>
          <w:szCs w:val="28"/>
        </w:rPr>
      </w:pPr>
    </w:p>
    <w:sectPr w:rsidR="002F3A91" w:rsidRPr="007940C4" w:rsidSect="00612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395" w:bottom="142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A9" w:rsidRDefault="00B508A9" w:rsidP="00612B67">
      <w:pPr>
        <w:spacing w:after="0" w:line="240" w:lineRule="auto"/>
      </w:pPr>
      <w:r>
        <w:separator/>
      </w:r>
    </w:p>
  </w:endnote>
  <w:endnote w:type="continuationSeparator" w:id="0">
    <w:p w:rsidR="00B508A9" w:rsidRDefault="00B508A9" w:rsidP="0061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67" w:rsidRDefault="00612B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67" w:rsidRDefault="00612B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67" w:rsidRDefault="00612B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A9" w:rsidRDefault="00B508A9" w:rsidP="00612B67">
      <w:pPr>
        <w:spacing w:after="0" w:line="240" w:lineRule="auto"/>
      </w:pPr>
      <w:r>
        <w:separator/>
      </w:r>
    </w:p>
  </w:footnote>
  <w:footnote w:type="continuationSeparator" w:id="0">
    <w:p w:rsidR="00B508A9" w:rsidRDefault="00B508A9" w:rsidP="0061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67" w:rsidRDefault="00612B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67" w:rsidRDefault="00612B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618E" w:rsidRPr="0048618E">
      <w:rPr>
        <w:noProof/>
        <w:lang w:val="ru-RU"/>
      </w:rPr>
      <w:t>2</w:t>
    </w:r>
    <w:r>
      <w:fldChar w:fldCharType="end"/>
    </w:r>
  </w:p>
  <w:p w:rsidR="00612B67" w:rsidRDefault="00612B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67" w:rsidRDefault="00612B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1F"/>
    <w:rsid w:val="000341B5"/>
    <w:rsid w:val="00034F1F"/>
    <w:rsid w:val="0005182D"/>
    <w:rsid w:val="00052919"/>
    <w:rsid w:val="00061399"/>
    <w:rsid w:val="000723FD"/>
    <w:rsid w:val="0008271A"/>
    <w:rsid w:val="000911BB"/>
    <w:rsid w:val="000D3796"/>
    <w:rsid w:val="00111E88"/>
    <w:rsid w:val="00170BAC"/>
    <w:rsid w:val="00190B52"/>
    <w:rsid w:val="001923C6"/>
    <w:rsid w:val="001A7F7C"/>
    <w:rsid w:val="001B732C"/>
    <w:rsid w:val="002162CA"/>
    <w:rsid w:val="00224656"/>
    <w:rsid w:val="00230B97"/>
    <w:rsid w:val="00236985"/>
    <w:rsid w:val="002510CE"/>
    <w:rsid w:val="002533C5"/>
    <w:rsid w:val="002B2BDC"/>
    <w:rsid w:val="002B4A5C"/>
    <w:rsid w:val="002C358A"/>
    <w:rsid w:val="002D2996"/>
    <w:rsid w:val="002F3A91"/>
    <w:rsid w:val="003053FC"/>
    <w:rsid w:val="00305E93"/>
    <w:rsid w:val="00352FB1"/>
    <w:rsid w:val="00355924"/>
    <w:rsid w:val="00376ED0"/>
    <w:rsid w:val="0038179D"/>
    <w:rsid w:val="0039028D"/>
    <w:rsid w:val="00391974"/>
    <w:rsid w:val="003D1843"/>
    <w:rsid w:val="003E64DD"/>
    <w:rsid w:val="00433D7D"/>
    <w:rsid w:val="00445237"/>
    <w:rsid w:val="004604EA"/>
    <w:rsid w:val="00460C7F"/>
    <w:rsid w:val="00472607"/>
    <w:rsid w:val="0048618E"/>
    <w:rsid w:val="004A3496"/>
    <w:rsid w:val="004B2D30"/>
    <w:rsid w:val="004F089C"/>
    <w:rsid w:val="005275A0"/>
    <w:rsid w:val="00542878"/>
    <w:rsid w:val="00564106"/>
    <w:rsid w:val="00572245"/>
    <w:rsid w:val="00597EDF"/>
    <w:rsid w:val="005A4282"/>
    <w:rsid w:val="005B7077"/>
    <w:rsid w:val="005C241E"/>
    <w:rsid w:val="005D4E9C"/>
    <w:rsid w:val="005D642A"/>
    <w:rsid w:val="00612B67"/>
    <w:rsid w:val="006338F5"/>
    <w:rsid w:val="00663662"/>
    <w:rsid w:val="006B67B1"/>
    <w:rsid w:val="006C283D"/>
    <w:rsid w:val="006E5221"/>
    <w:rsid w:val="00726EE5"/>
    <w:rsid w:val="0073362B"/>
    <w:rsid w:val="00750D56"/>
    <w:rsid w:val="007940C4"/>
    <w:rsid w:val="00794FB8"/>
    <w:rsid w:val="007A7BD2"/>
    <w:rsid w:val="007C0943"/>
    <w:rsid w:val="007C18A3"/>
    <w:rsid w:val="007C5842"/>
    <w:rsid w:val="007E43F5"/>
    <w:rsid w:val="007F4A75"/>
    <w:rsid w:val="00812AB5"/>
    <w:rsid w:val="0085180A"/>
    <w:rsid w:val="008B7BEA"/>
    <w:rsid w:val="008E6820"/>
    <w:rsid w:val="009A0DF4"/>
    <w:rsid w:val="009A2B3C"/>
    <w:rsid w:val="00A10733"/>
    <w:rsid w:val="00A11A65"/>
    <w:rsid w:val="00A27583"/>
    <w:rsid w:val="00A33BEC"/>
    <w:rsid w:val="00A40A46"/>
    <w:rsid w:val="00A438F0"/>
    <w:rsid w:val="00A45A26"/>
    <w:rsid w:val="00A930A7"/>
    <w:rsid w:val="00B25F83"/>
    <w:rsid w:val="00B4511D"/>
    <w:rsid w:val="00B508A9"/>
    <w:rsid w:val="00B5266D"/>
    <w:rsid w:val="00B562CD"/>
    <w:rsid w:val="00BA5785"/>
    <w:rsid w:val="00BB06DA"/>
    <w:rsid w:val="00BC37E7"/>
    <w:rsid w:val="00BD287D"/>
    <w:rsid w:val="00BE58B3"/>
    <w:rsid w:val="00BF5B34"/>
    <w:rsid w:val="00C305BE"/>
    <w:rsid w:val="00C66902"/>
    <w:rsid w:val="00C71A01"/>
    <w:rsid w:val="00C85E51"/>
    <w:rsid w:val="00CC0F89"/>
    <w:rsid w:val="00CC5CB0"/>
    <w:rsid w:val="00CF60A6"/>
    <w:rsid w:val="00CF6CEA"/>
    <w:rsid w:val="00D0310D"/>
    <w:rsid w:val="00D63A4D"/>
    <w:rsid w:val="00D73958"/>
    <w:rsid w:val="00DB2AE2"/>
    <w:rsid w:val="00DF2F1B"/>
    <w:rsid w:val="00DF7438"/>
    <w:rsid w:val="00E6531F"/>
    <w:rsid w:val="00E65C44"/>
    <w:rsid w:val="00E82262"/>
    <w:rsid w:val="00ED411B"/>
    <w:rsid w:val="00EE74AC"/>
    <w:rsid w:val="00EF1AAC"/>
    <w:rsid w:val="00F57E3F"/>
    <w:rsid w:val="00F60AE9"/>
    <w:rsid w:val="00F62A17"/>
    <w:rsid w:val="00F74CBC"/>
    <w:rsid w:val="00FD1077"/>
    <w:rsid w:val="00FE1D54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9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34F1F"/>
    <w:pPr>
      <w:ind w:left="720"/>
    </w:pPr>
  </w:style>
  <w:style w:type="character" w:customStyle="1" w:styleId="FontStyle14">
    <w:name w:val="Font Style14"/>
    <w:rsid w:val="008B7BEA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BA5785"/>
    <w:pPr>
      <w:spacing w:after="120"/>
    </w:pPr>
    <w:rPr>
      <w:sz w:val="16"/>
      <w:szCs w:val="16"/>
      <w:lang w:val="ru-RU" w:eastAsia="en-US"/>
    </w:rPr>
  </w:style>
  <w:style w:type="character" w:customStyle="1" w:styleId="30">
    <w:name w:val="Основной текст 3 Знак"/>
    <w:link w:val="3"/>
    <w:locked/>
    <w:rsid w:val="00BA5785"/>
    <w:rPr>
      <w:rFonts w:ascii="Calibri" w:hAnsi="Calibri" w:cs="Times New Roman"/>
      <w:sz w:val="16"/>
      <w:szCs w:val="16"/>
      <w:lang w:val="ru-RU" w:eastAsia="en-US"/>
    </w:rPr>
  </w:style>
  <w:style w:type="character" w:customStyle="1" w:styleId="rvts23">
    <w:name w:val="rvts23"/>
    <w:rsid w:val="006E5221"/>
    <w:rPr>
      <w:rFonts w:cs="Times New Roman"/>
    </w:rPr>
  </w:style>
  <w:style w:type="character" w:customStyle="1" w:styleId="rvts44">
    <w:name w:val="rvts44"/>
    <w:rsid w:val="00CC0F89"/>
    <w:rPr>
      <w:rFonts w:cs="Times New Roman"/>
    </w:rPr>
  </w:style>
  <w:style w:type="paragraph" w:customStyle="1" w:styleId="NoSpacing">
    <w:name w:val="No Spacing"/>
    <w:rsid w:val="002B2BDC"/>
    <w:rPr>
      <w:sz w:val="22"/>
      <w:szCs w:val="22"/>
    </w:rPr>
  </w:style>
  <w:style w:type="table" w:styleId="a3">
    <w:name w:val="Table Grid"/>
    <w:basedOn w:val="a1"/>
    <w:rsid w:val="002B2BD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6C283D"/>
  </w:style>
  <w:style w:type="paragraph" w:customStyle="1" w:styleId="rvps2">
    <w:name w:val="rvps2"/>
    <w:basedOn w:val="a"/>
    <w:rsid w:val="00D031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11A65"/>
    <w:rPr>
      <w:color w:val="0563C1"/>
      <w:u w:val="single"/>
    </w:rPr>
  </w:style>
  <w:style w:type="paragraph" w:customStyle="1" w:styleId="a5">
    <w:name w:val="Назва документа"/>
    <w:basedOn w:val="a"/>
    <w:next w:val="a"/>
    <w:uiPriority w:val="99"/>
    <w:rsid w:val="00597EDF"/>
    <w:pPr>
      <w:keepNext/>
      <w:keepLines/>
      <w:spacing w:before="360" w:after="36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612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12B67"/>
    <w:rPr>
      <w:sz w:val="22"/>
      <w:szCs w:val="22"/>
    </w:rPr>
  </w:style>
  <w:style w:type="paragraph" w:styleId="a8">
    <w:name w:val="footer"/>
    <w:basedOn w:val="a"/>
    <w:link w:val="a9"/>
    <w:rsid w:val="00612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12B6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9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34F1F"/>
    <w:pPr>
      <w:ind w:left="720"/>
    </w:pPr>
  </w:style>
  <w:style w:type="character" w:customStyle="1" w:styleId="FontStyle14">
    <w:name w:val="Font Style14"/>
    <w:rsid w:val="008B7BEA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BA5785"/>
    <w:pPr>
      <w:spacing w:after="120"/>
    </w:pPr>
    <w:rPr>
      <w:sz w:val="16"/>
      <w:szCs w:val="16"/>
      <w:lang w:val="ru-RU" w:eastAsia="en-US"/>
    </w:rPr>
  </w:style>
  <w:style w:type="character" w:customStyle="1" w:styleId="30">
    <w:name w:val="Основной текст 3 Знак"/>
    <w:link w:val="3"/>
    <w:locked/>
    <w:rsid w:val="00BA5785"/>
    <w:rPr>
      <w:rFonts w:ascii="Calibri" w:hAnsi="Calibri" w:cs="Times New Roman"/>
      <w:sz w:val="16"/>
      <w:szCs w:val="16"/>
      <w:lang w:val="ru-RU" w:eastAsia="en-US"/>
    </w:rPr>
  </w:style>
  <w:style w:type="character" w:customStyle="1" w:styleId="rvts23">
    <w:name w:val="rvts23"/>
    <w:rsid w:val="006E5221"/>
    <w:rPr>
      <w:rFonts w:cs="Times New Roman"/>
    </w:rPr>
  </w:style>
  <w:style w:type="character" w:customStyle="1" w:styleId="rvts44">
    <w:name w:val="rvts44"/>
    <w:rsid w:val="00CC0F89"/>
    <w:rPr>
      <w:rFonts w:cs="Times New Roman"/>
    </w:rPr>
  </w:style>
  <w:style w:type="paragraph" w:customStyle="1" w:styleId="NoSpacing">
    <w:name w:val="No Spacing"/>
    <w:rsid w:val="002B2BDC"/>
    <w:rPr>
      <w:sz w:val="22"/>
      <w:szCs w:val="22"/>
    </w:rPr>
  </w:style>
  <w:style w:type="table" w:styleId="a3">
    <w:name w:val="Table Grid"/>
    <w:basedOn w:val="a1"/>
    <w:rsid w:val="002B2BD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6C283D"/>
  </w:style>
  <w:style w:type="paragraph" w:customStyle="1" w:styleId="rvps2">
    <w:name w:val="rvps2"/>
    <w:basedOn w:val="a"/>
    <w:rsid w:val="00D031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11A65"/>
    <w:rPr>
      <w:color w:val="0563C1"/>
      <w:u w:val="single"/>
    </w:rPr>
  </w:style>
  <w:style w:type="paragraph" w:customStyle="1" w:styleId="a5">
    <w:name w:val="Назва документа"/>
    <w:basedOn w:val="a"/>
    <w:next w:val="a"/>
    <w:uiPriority w:val="99"/>
    <w:rsid w:val="00597EDF"/>
    <w:pPr>
      <w:keepNext/>
      <w:keepLines/>
      <w:spacing w:before="360" w:after="36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612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12B67"/>
    <w:rPr>
      <w:sz w:val="22"/>
      <w:szCs w:val="22"/>
    </w:rPr>
  </w:style>
  <w:style w:type="paragraph" w:styleId="a8">
    <w:name w:val="footer"/>
    <w:basedOn w:val="a"/>
    <w:link w:val="a9"/>
    <w:rsid w:val="00612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12B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Додаток до пояснювальної записки</vt:lpstr>
    </vt:vector>
  </TitlesOfParts>
  <Company>HOME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пояснювальної записки</dc:title>
  <dc:creator>Анастасія Соніна (DELL-UKR4 - a.sonina)</dc:creator>
  <cp:lastModifiedBy>User</cp:lastModifiedBy>
  <cp:revision>2</cp:revision>
  <cp:lastPrinted>2019-07-03T14:35:00Z</cp:lastPrinted>
  <dcterms:created xsi:type="dcterms:W3CDTF">2020-11-05T13:06:00Z</dcterms:created>
  <dcterms:modified xsi:type="dcterms:W3CDTF">2020-11-05T13:06:00Z</dcterms:modified>
</cp:coreProperties>
</file>