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2987B" w14:textId="77777777" w:rsidR="00E63910" w:rsidRPr="007D2236" w:rsidRDefault="00E63910" w:rsidP="00A07483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78D40F19" w14:textId="77777777" w:rsidR="00731BA7" w:rsidRDefault="00731BA7" w:rsidP="00AD7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5700C050" w14:textId="77777777" w:rsidR="00731BA7" w:rsidRDefault="00731BA7" w:rsidP="00AD7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81797" w14:textId="77777777" w:rsidR="00731BA7" w:rsidRPr="007D2236" w:rsidRDefault="00731BA7" w:rsidP="00AD7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C53CD" w14:textId="77777777" w:rsidR="00095052" w:rsidRPr="007D2236" w:rsidRDefault="00095052" w:rsidP="00AD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36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14:paraId="5567C753" w14:textId="77777777" w:rsidR="007D2236" w:rsidRPr="007D2236" w:rsidRDefault="00095052" w:rsidP="00AD782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D2236">
        <w:rPr>
          <w:rFonts w:ascii="Times New Roman" w:hAnsi="Times New Roman"/>
          <w:sz w:val="28"/>
          <w:szCs w:val="28"/>
        </w:rPr>
        <w:t>на проект Закону України «</w:t>
      </w:r>
      <w:r w:rsidR="00F334F9" w:rsidRPr="007D2236">
        <w:rPr>
          <w:rFonts w:ascii="Times New Roman" w:hAnsi="Times New Roman"/>
          <w:sz w:val="28"/>
          <w:szCs w:val="28"/>
          <w:lang w:eastAsia="en-US"/>
        </w:rPr>
        <w:t>Про внесення змін до деяких законодавчих актів України щодо вдосконалення питань організації корпоративного управління в банках</w:t>
      </w:r>
      <w:r w:rsidR="007D2236" w:rsidRPr="007D223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334F9" w:rsidRPr="007D2236">
        <w:rPr>
          <w:rFonts w:ascii="Times New Roman" w:hAnsi="Times New Roman"/>
          <w:sz w:val="28"/>
          <w:szCs w:val="28"/>
          <w:lang w:eastAsia="en-US"/>
        </w:rPr>
        <w:t xml:space="preserve">та інших питань функціонування </w:t>
      </w:r>
    </w:p>
    <w:p w14:paraId="09568BB4" w14:textId="77777777" w:rsidR="00095052" w:rsidRPr="007D2236" w:rsidRDefault="00F334F9" w:rsidP="00AD782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7D2236">
        <w:rPr>
          <w:rFonts w:ascii="Times New Roman" w:hAnsi="Times New Roman"/>
          <w:sz w:val="28"/>
          <w:szCs w:val="28"/>
          <w:lang w:eastAsia="en-US"/>
        </w:rPr>
        <w:t>банківської системи</w:t>
      </w:r>
      <w:r w:rsidR="00095052" w:rsidRPr="007D2236">
        <w:rPr>
          <w:rFonts w:ascii="Times New Roman" w:hAnsi="Times New Roman"/>
          <w:sz w:val="28"/>
          <w:szCs w:val="28"/>
          <w:lang w:eastAsia="en-US"/>
        </w:rPr>
        <w:t>»</w:t>
      </w:r>
    </w:p>
    <w:p w14:paraId="583A35FB" w14:textId="77777777" w:rsidR="00095052" w:rsidRPr="007D2236" w:rsidRDefault="00095052" w:rsidP="00AD78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5C3DC" w14:textId="7A874CEA" w:rsidR="00EB16F0" w:rsidRPr="007D2236" w:rsidRDefault="00095052" w:rsidP="00AD7825">
      <w:pPr>
        <w:shd w:val="clear" w:color="auto" w:fill="FFFFFF"/>
        <w:tabs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2236">
        <w:rPr>
          <w:rFonts w:ascii="Times New Roman" w:hAnsi="Times New Roman" w:cs="Times New Roman"/>
          <w:sz w:val="28"/>
          <w:szCs w:val="28"/>
        </w:rPr>
        <w:t>У проекті</w:t>
      </w:r>
      <w:r w:rsidR="007D2236" w:rsidRPr="007D2236">
        <w:rPr>
          <w:rFonts w:ascii="Times New Roman" w:hAnsi="Times New Roman" w:cs="Times New Roman"/>
          <w:sz w:val="28"/>
          <w:szCs w:val="28"/>
        </w:rPr>
        <w:t xml:space="preserve"> </w:t>
      </w:r>
      <w:r w:rsidR="00EC31BF" w:rsidRPr="007D2236">
        <w:rPr>
          <w:rFonts w:ascii="Times New Roman" w:hAnsi="Times New Roman" w:cs="Times New Roman"/>
          <w:sz w:val="28"/>
          <w:szCs w:val="28"/>
        </w:rPr>
        <w:t>пропонується</w:t>
      </w:r>
      <w:r w:rsidR="00944AA3">
        <w:rPr>
          <w:rFonts w:ascii="Times New Roman" w:hAnsi="Times New Roman" w:cs="Times New Roman"/>
          <w:sz w:val="28"/>
          <w:szCs w:val="28"/>
        </w:rPr>
        <w:t xml:space="preserve"> </w:t>
      </w:r>
      <w:r w:rsidR="00047883" w:rsidRPr="007D2236">
        <w:rPr>
          <w:rFonts w:ascii="Times New Roman" w:hAnsi="Times New Roman" w:cs="Times New Roman"/>
          <w:sz w:val="28"/>
          <w:szCs w:val="28"/>
        </w:rPr>
        <w:t>удосконалити</w:t>
      </w:r>
      <w:r w:rsidR="00944AA3">
        <w:rPr>
          <w:rFonts w:ascii="Times New Roman" w:hAnsi="Times New Roman" w:cs="Times New Roman"/>
          <w:sz w:val="28"/>
          <w:szCs w:val="28"/>
        </w:rPr>
        <w:t xml:space="preserve"> низку положень </w:t>
      </w:r>
      <w:r w:rsidR="00944AA3" w:rsidRPr="007D2236">
        <w:rPr>
          <w:rFonts w:ascii="Times New Roman" w:hAnsi="Times New Roman" w:cs="Times New Roman"/>
          <w:sz w:val="28"/>
          <w:szCs w:val="28"/>
        </w:rPr>
        <w:t>Закону України «Про банки і банківську діяльність»</w:t>
      </w:r>
      <w:r w:rsidR="00944AA3">
        <w:rPr>
          <w:rFonts w:ascii="Times New Roman" w:hAnsi="Times New Roman" w:cs="Times New Roman"/>
          <w:sz w:val="28"/>
          <w:szCs w:val="28"/>
        </w:rPr>
        <w:t>, зокрема, у частині</w:t>
      </w:r>
      <w:r w:rsidR="008A28AA" w:rsidRPr="007D2236">
        <w:rPr>
          <w:rFonts w:ascii="Times New Roman" w:hAnsi="Times New Roman" w:cs="Times New Roman"/>
          <w:sz w:val="28"/>
          <w:szCs w:val="28"/>
        </w:rPr>
        <w:t>:</w:t>
      </w:r>
      <w:r w:rsidR="00047883" w:rsidRPr="007D2236">
        <w:rPr>
          <w:rFonts w:ascii="Times New Roman" w:hAnsi="Times New Roman" w:cs="Times New Roman"/>
          <w:sz w:val="28"/>
          <w:szCs w:val="28"/>
        </w:rPr>
        <w:t xml:space="preserve"> вимог до капіталу банків</w:t>
      </w:r>
      <w:r w:rsidR="008A28AA" w:rsidRPr="007D2236">
        <w:rPr>
          <w:rFonts w:ascii="Times New Roman" w:hAnsi="Times New Roman" w:cs="Times New Roman"/>
          <w:sz w:val="28"/>
          <w:szCs w:val="28"/>
        </w:rPr>
        <w:t>; банківського нагляду;</w:t>
      </w:r>
      <w:r w:rsidR="003B531D" w:rsidRPr="007D2236">
        <w:rPr>
          <w:rFonts w:ascii="Times New Roman" w:hAnsi="Times New Roman" w:cs="Times New Roman"/>
          <w:sz w:val="28"/>
          <w:szCs w:val="28"/>
        </w:rPr>
        <w:t xml:space="preserve"> повноважен</w:t>
      </w:r>
      <w:r w:rsidR="00944AA3">
        <w:rPr>
          <w:rFonts w:ascii="Times New Roman" w:hAnsi="Times New Roman" w:cs="Times New Roman"/>
          <w:sz w:val="28"/>
          <w:szCs w:val="28"/>
        </w:rPr>
        <w:t>ь</w:t>
      </w:r>
      <w:r w:rsidR="003B531D" w:rsidRPr="007D2236">
        <w:rPr>
          <w:rFonts w:ascii="Times New Roman" w:hAnsi="Times New Roman" w:cs="Times New Roman"/>
          <w:sz w:val="28"/>
          <w:szCs w:val="28"/>
        </w:rPr>
        <w:t xml:space="preserve"> ради банку, систем</w:t>
      </w:r>
      <w:r w:rsidR="00944AA3">
        <w:rPr>
          <w:rFonts w:ascii="Times New Roman" w:hAnsi="Times New Roman" w:cs="Times New Roman"/>
          <w:sz w:val="28"/>
          <w:szCs w:val="28"/>
        </w:rPr>
        <w:t>и</w:t>
      </w:r>
      <w:r w:rsidR="003B531D" w:rsidRPr="007D2236">
        <w:rPr>
          <w:rFonts w:ascii="Times New Roman" w:hAnsi="Times New Roman" w:cs="Times New Roman"/>
          <w:sz w:val="28"/>
          <w:szCs w:val="28"/>
        </w:rPr>
        <w:t xml:space="preserve"> внутрішнього контролю та управління ризиками; </w:t>
      </w:r>
      <w:r w:rsidR="008A28AA" w:rsidRPr="007D2236">
        <w:rPr>
          <w:rFonts w:ascii="Times New Roman" w:hAnsi="Times New Roman" w:cs="Times New Roman"/>
          <w:sz w:val="28"/>
          <w:szCs w:val="28"/>
        </w:rPr>
        <w:t xml:space="preserve">вимог щодо набуття істотної участі у банку; </w:t>
      </w:r>
      <w:r w:rsidR="00683188" w:rsidRPr="007D2236">
        <w:rPr>
          <w:rFonts w:ascii="Times New Roman" w:hAnsi="Times New Roman" w:cs="Times New Roman"/>
          <w:sz w:val="28"/>
          <w:szCs w:val="28"/>
        </w:rPr>
        <w:t>пов’язаних осіб</w:t>
      </w:r>
      <w:r w:rsidR="00407F02" w:rsidRPr="007D2236">
        <w:rPr>
          <w:rFonts w:ascii="Times New Roman" w:hAnsi="Times New Roman" w:cs="Times New Roman"/>
          <w:sz w:val="28"/>
          <w:szCs w:val="28"/>
        </w:rPr>
        <w:t>; створення та ліцензування банків</w:t>
      </w:r>
      <w:r w:rsidR="004A4BC4" w:rsidRPr="007D2236">
        <w:rPr>
          <w:rFonts w:ascii="Times New Roman" w:hAnsi="Times New Roman" w:cs="Times New Roman"/>
          <w:sz w:val="28"/>
          <w:szCs w:val="28"/>
        </w:rPr>
        <w:t>; поряд</w:t>
      </w:r>
      <w:r w:rsidR="00944AA3">
        <w:rPr>
          <w:rFonts w:ascii="Times New Roman" w:hAnsi="Times New Roman" w:cs="Times New Roman"/>
          <w:sz w:val="28"/>
          <w:szCs w:val="28"/>
        </w:rPr>
        <w:t>ку</w:t>
      </w:r>
      <w:r w:rsidR="004A4BC4" w:rsidRPr="007D2236">
        <w:rPr>
          <w:rFonts w:ascii="Times New Roman" w:hAnsi="Times New Roman" w:cs="Times New Roman"/>
          <w:sz w:val="28"/>
          <w:szCs w:val="28"/>
        </w:rPr>
        <w:t xml:space="preserve"> відкриття філій та представництв іноземних банків на території України</w:t>
      </w:r>
      <w:r w:rsidR="00407F02" w:rsidRPr="007D2236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45A7BB6B" w14:textId="629B5B79" w:rsidR="00734978" w:rsidRDefault="00407F02" w:rsidP="00AD7825">
      <w:pPr>
        <w:shd w:val="clear" w:color="auto" w:fill="FFFFFF"/>
        <w:tabs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Style w:val="rvts44"/>
          <w:rFonts w:ascii="Times New Roman" w:hAnsi="Times New Roman"/>
          <w:bCs/>
          <w:sz w:val="28"/>
          <w:szCs w:val="28"/>
        </w:rPr>
      </w:pPr>
      <w:r w:rsidRPr="007D2236"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="00944AA3">
        <w:rPr>
          <w:rFonts w:ascii="Times New Roman" w:hAnsi="Times New Roman" w:cs="Times New Roman"/>
          <w:sz w:val="28"/>
          <w:szCs w:val="28"/>
        </w:rPr>
        <w:t>від</w:t>
      </w:r>
      <w:r w:rsidRPr="007D2236">
        <w:rPr>
          <w:rFonts w:ascii="Times New Roman" w:hAnsi="Times New Roman" w:cs="Times New Roman"/>
          <w:sz w:val="28"/>
          <w:szCs w:val="28"/>
        </w:rPr>
        <w:t xml:space="preserve">повідні зміни </w:t>
      </w:r>
      <w:r w:rsidR="00944AA3">
        <w:rPr>
          <w:rFonts w:ascii="Times New Roman" w:hAnsi="Times New Roman" w:cs="Times New Roman"/>
          <w:sz w:val="28"/>
          <w:szCs w:val="28"/>
        </w:rPr>
        <w:t xml:space="preserve">пропонуються </w:t>
      </w:r>
      <w:r w:rsidRPr="007D2236">
        <w:rPr>
          <w:rFonts w:ascii="Times New Roman" w:hAnsi="Times New Roman" w:cs="Times New Roman"/>
          <w:sz w:val="28"/>
          <w:szCs w:val="28"/>
        </w:rPr>
        <w:t xml:space="preserve">до </w:t>
      </w:r>
      <w:r w:rsidR="007D2236" w:rsidRPr="007D2236">
        <w:rPr>
          <w:rFonts w:ascii="Times New Roman" w:hAnsi="Times New Roman" w:cs="Times New Roman"/>
          <w:sz w:val="28"/>
          <w:szCs w:val="28"/>
        </w:rPr>
        <w:t xml:space="preserve">Цивільного, Цивільного </w:t>
      </w:r>
      <w:r w:rsidR="007D2236">
        <w:rPr>
          <w:rFonts w:ascii="Times New Roman" w:hAnsi="Times New Roman" w:cs="Times New Roman"/>
          <w:sz w:val="28"/>
          <w:szCs w:val="28"/>
        </w:rPr>
        <w:t>процес</w:t>
      </w:r>
      <w:r w:rsidR="007D2236" w:rsidRPr="007D2236">
        <w:rPr>
          <w:rFonts w:ascii="Times New Roman" w:hAnsi="Times New Roman" w:cs="Times New Roman"/>
          <w:sz w:val="28"/>
          <w:szCs w:val="28"/>
        </w:rPr>
        <w:t xml:space="preserve">уального, Господарського процесуального кодексів України, законів України «Про Національний банк України», </w:t>
      </w:r>
      <w:r w:rsidR="00E305B8">
        <w:rPr>
          <w:rFonts w:ascii="Times New Roman" w:hAnsi="Times New Roman" w:cs="Times New Roman"/>
          <w:sz w:val="28"/>
          <w:szCs w:val="28"/>
        </w:rPr>
        <w:t>«Про депозитарну систему України», «Про Антимонопольний комітет України», «Про Національне антикорупційне бюро України», «</w:t>
      </w:r>
      <w:r w:rsidR="00E305B8" w:rsidRPr="00E305B8">
        <w:rPr>
          <w:rFonts w:ascii="Times New Roman" w:hAnsi="Times New Roman"/>
          <w:sz w:val="28"/>
          <w:szCs w:val="28"/>
        </w:rPr>
        <w:t xml:space="preserve">Про внесення змін до Закону України </w:t>
      </w:r>
      <w:r w:rsidR="00596FE7">
        <w:rPr>
          <w:rFonts w:ascii="Times New Roman" w:hAnsi="Times New Roman"/>
          <w:sz w:val="28"/>
          <w:szCs w:val="28"/>
        </w:rPr>
        <w:br/>
      </w:r>
      <w:r w:rsidR="00E305B8">
        <w:rPr>
          <w:rFonts w:ascii="Times New Roman" w:hAnsi="Times New Roman"/>
          <w:sz w:val="28"/>
          <w:szCs w:val="28"/>
        </w:rPr>
        <w:t>«</w:t>
      </w:r>
      <w:r w:rsidR="00E305B8" w:rsidRPr="00E305B8">
        <w:rPr>
          <w:rFonts w:ascii="Times New Roman" w:hAnsi="Times New Roman"/>
          <w:sz w:val="28"/>
          <w:szCs w:val="28"/>
        </w:rPr>
        <w:t xml:space="preserve">Про державну реєстрацію юридичних осіб та фізичних осіб </w:t>
      </w:r>
      <w:r w:rsidR="00E305B8">
        <w:rPr>
          <w:rFonts w:ascii="Times New Roman" w:hAnsi="Times New Roman"/>
          <w:sz w:val="28"/>
          <w:szCs w:val="28"/>
        </w:rPr>
        <w:t>–</w:t>
      </w:r>
      <w:r w:rsidR="00E305B8" w:rsidRPr="00E305B8">
        <w:rPr>
          <w:rFonts w:ascii="Times New Roman" w:hAnsi="Times New Roman"/>
          <w:sz w:val="28"/>
          <w:szCs w:val="28"/>
        </w:rPr>
        <w:t xml:space="preserve"> підприємців</w:t>
      </w:r>
      <w:r w:rsidR="00E305B8">
        <w:rPr>
          <w:rFonts w:ascii="Times New Roman" w:hAnsi="Times New Roman"/>
          <w:sz w:val="28"/>
          <w:szCs w:val="28"/>
        </w:rPr>
        <w:t>»</w:t>
      </w:r>
      <w:r w:rsidR="00E305B8" w:rsidRPr="00E305B8">
        <w:rPr>
          <w:rFonts w:ascii="Times New Roman" w:hAnsi="Times New Roman"/>
          <w:sz w:val="28"/>
          <w:szCs w:val="28"/>
        </w:rPr>
        <w:t xml:space="preserve"> та деяких інших законодавчих актів України щодо децентралізації повноважень з державної реєстрації юридичних осіб, фізичних осіб - підприємців та громадських формувань»</w:t>
      </w:r>
      <w:r w:rsidR="007D2236" w:rsidRPr="007D2236">
        <w:rPr>
          <w:rFonts w:ascii="Times New Roman" w:hAnsi="Times New Roman" w:cs="Times New Roman"/>
          <w:sz w:val="28"/>
          <w:szCs w:val="28"/>
        </w:rPr>
        <w:t>,</w:t>
      </w:r>
      <w:r w:rsidR="00E305B8">
        <w:rPr>
          <w:rFonts w:ascii="Times New Roman" w:hAnsi="Times New Roman" w:cs="Times New Roman"/>
          <w:sz w:val="28"/>
          <w:szCs w:val="28"/>
        </w:rPr>
        <w:t xml:space="preserve"> </w:t>
      </w:r>
      <w:r w:rsidR="00734978">
        <w:rPr>
          <w:rFonts w:ascii="Times New Roman" w:hAnsi="Times New Roman" w:cs="Times New Roman"/>
          <w:sz w:val="28"/>
          <w:szCs w:val="28"/>
        </w:rPr>
        <w:t xml:space="preserve">«Про Рахункову палату», </w:t>
      </w:r>
      <w:r w:rsidR="00596FE7">
        <w:rPr>
          <w:rFonts w:ascii="Times New Roman" w:hAnsi="Times New Roman" w:cs="Times New Roman"/>
          <w:sz w:val="28"/>
          <w:szCs w:val="28"/>
        </w:rPr>
        <w:br/>
      </w:r>
      <w:r w:rsidR="00734978">
        <w:rPr>
          <w:rFonts w:ascii="Times New Roman" w:hAnsi="Times New Roman" w:cs="Times New Roman"/>
          <w:sz w:val="28"/>
          <w:szCs w:val="28"/>
        </w:rPr>
        <w:t xml:space="preserve">«Про систему гарантування вкладів фізичних осіб», «Про Державне бюро розслідувань», «Про виконавче провадження», </w:t>
      </w:r>
      <w:r w:rsidR="00734978" w:rsidRPr="00734978">
        <w:rPr>
          <w:rFonts w:ascii="Times New Roman" w:hAnsi="Times New Roman"/>
          <w:sz w:val="28"/>
          <w:szCs w:val="28"/>
        </w:rPr>
        <w:t xml:space="preserve">«Про Національне агентство України з питань виявлення, розшуку та управління активами, одержаними </w:t>
      </w:r>
      <w:r w:rsidR="003C22E0" w:rsidRPr="003C22E0">
        <w:rPr>
          <w:rFonts w:ascii="Times New Roman" w:hAnsi="Times New Roman"/>
          <w:sz w:val="28"/>
          <w:szCs w:val="28"/>
        </w:rPr>
        <w:t xml:space="preserve">      </w:t>
      </w:r>
      <w:r w:rsidR="00734978" w:rsidRPr="00734978">
        <w:rPr>
          <w:rFonts w:ascii="Times New Roman" w:hAnsi="Times New Roman"/>
          <w:sz w:val="28"/>
          <w:szCs w:val="28"/>
        </w:rPr>
        <w:t>від корупційних та інших злочинів»</w:t>
      </w:r>
      <w:r w:rsidR="00734978">
        <w:rPr>
          <w:rFonts w:ascii="Times New Roman" w:hAnsi="Times New Roman"/>
          <w:sz w:val="28"/>
          <w:szCs w:val="28"/>
        </w:rPr>
        <w:t>, «</w:t>
      </w:r>
      <w:r w:rsidR="00734978" w:rsidRPr="00734978">
        <w:rPr>
          <w:rStyle w:val="rvts44"/>
          <w:rFonts w:ascii="Times New Roman" w:hAnsi="Times New Roman"/>
          <w:bCs/>
          <w:sz w:val="28"/>
          <w:szCs w:val="28"/>
        </w:rPr>
        <w:t>Про внесення змін до деяких законодавчих актів України щодо спрощення залучення інвестицій та запровадження нових фінансових інструментів</w:t>
      </w:r>
      <w:r w:rsidR="00734978">
        <w:rPr>
          <w:rStyle w:val="rvts44"/>
          <w:rFonts w:ascii="Times New Roman" w:hAnsi="Times New Roman"/>
          <w:bCs/>
          <w:sz w:val="28"/>
          <w:szCs w:val="28"/>
        </w:rPr>
        <w:t>».</w:t>
      </w:r>
    </w:p>
    <w:p w14:paraId="4ECDD24F" w14:textId="6AB81328" w:rsidR="00C67936" w:rsidRPr="007D2236" w:rsidRDefault="00FB1401" w:rsidP="00AD7825">
      <w:pPr>
        <w:shd w:val="clear" w:color="auto" w:fill="FFFFFF"/>
        <w:tabs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2236">
        <w:rPr>
          <w:rFonts w:ascii="Times New Roman" w:hAnsi="Times New Roman" w:cs="Times New Roman"/>
          <w:sz w:val="28"/>
          <w:szCs w:val="28"/>
        </w:rPr>
        <w:t xml:space="preserve">Метою проекту згідно із пояснювальною запискою до нього є «вдосконалення регулювання діяльності банків та банківських груп, зміцнення банківської системи України, усунення накопичених проблемних питань, виявлених під час наглядової та регуляторної діяльності Національним банком, а також приведення законодавства України до стандартів ЄС стосовно організації корпоративного управління та системи ризик-менеджменту в банках». </w:t>
      </w:r>
    </w:p>
    <w:p w14:paraId="490A03C1" w14:textId="45D657AA" w:rsidR="00095052" w:rsidRDefault="00095052" w:rsidP="00AD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6">
        <w:rPr>
          <w:rFonts w:ascii="Times New Roman" w:hAnsi="Times New Roman" w:cs="Times New Roman"/>
          <w:sz w:val="28"/>
          <w:szCs w:val="28"/>
        </w:rPr>
        <w:t>Головне управління, розглянувши проект</w:t>
      </w:r>
      <w:r w:rsidR="00160F1E">
        <w:rPr>
          <w:rFonts w:ascii="Times New Roman" w:hAnsi="Times New Roman" w:cs="Times New Roman"/>
          <w:sz w:val="28"/>
          <w:szCs w:val="28"/>
        </w:rPr>
        <w:t xml:space="preserve"> та у цілому підтримуючи</w:t>
      </w:r>
      <w:r w:rsidR="006D7347">
        <w:rPr>
          <w:rFonts w:ascii="Times New Roman" w:hAnsi="Times New Roman" w:cs="Times New Roman"/>
          <w:sz w:val="28"/>
          <w:szCs w:val="28"/>
        </w:rPr>
        <w:t xml:space="preserve"> </w:t>
      </w:r>
      <w:r w:rsidR="00BF2652" w:rsidRPr="00BF26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6D7347">
        <w:rPr>
          <w:rFonts w:ascii="Times New Roman" w:hAnsi="Times New Roman" w:cs="Times New Roman"/>
          <w:sz w:val="28"/>
          <w:szCs w:val="28"/>
        </w:rPr>
        <w:t xml:space="preserve">його спрямованість на </w:t>
      </w:r>
      <w:r w:rsidR="00160F1E">
        <w:rPr>
          <w:rFonts w:ascii="Times New Roman" w:hAnsi="Times New Roman" w:cs="Times New Roman"/>
          <w:sz w:val="28"/>
          <w:szCs w:val="28"/>
        </w:rPr>
        <w:t xml:space="preserve">оновлення законодавства у сфері </w:t>
      </w:r>
      <w:r w:rsidR="00772AAC" w:rsidRPr="00715ACA">
        <w:rPr>
          <w:rFonts w:ascii="Times New Roman" w:hAnsi="Times New Roman" w:cs="Times New Roman"/>
          <w:sz w:val="28"/>
          <w:szCs w:val="28"/>
        </w:rPr>
        <w:t xml:space="preserve">регулювання діяльності банків та банківських груп, організації корпоративного управління та системи ризик-менеджменту </w:t>
      </w:r>
      <w:r w:rsidR="00944AA3">
        <w:rPr>
          <w:rFonts w:ascii="Times New Roman" w:hAnsi="Times New Roman" w:cs="Times New Roman"/>
          <w:sz w:val="28"/>
          <w:szCs w:val="28"/>
        </w:rPr>
        <w:t>у</w:t>
      </w:r>
      <w:r w:rsidR="00772AAC" w:rsidRPr="00715ACA">
        <w:rPr>
          <w:rFonts w:ascii="Times New Roman" w:hAnsi="Times New Roman" w:cs="Times New Roman"/>
          <w:sz w:val="28"/>
          <w:szCs w:val="28"/>
        </w:rPr>
        <w:t xml:space="preserve"> банках</w:t>
      </w:r>
      <w:r w:rsidR="00772AAC">
        <w:rPr>
          <w:rFonts w:ascii="Times New Roman" w:hAnsi="Times New Roman" w:cs="Times New Roman"/>
          <w:sz w:val="28"/>
          <w:szCs w:val="28"/>
        </w:rPr>
        <w:t xml:space="preserve">, одночасно </w:t>
      </w:r>
      <w:r w:rsidRPr="007D2236">
        <w:rPr>
          <w:rFonts w:ascii="Times New Roman" w:hAnsi="Times New Roman" w:cs="Times New Roman"/>
          <w:sz w:val="28"/>
          <w:szCs w:val="28"/>
        </w:rPr>
        <w:t xml:space="preserve">вважає за доцільне висловити щодо </w:t>
      </w:r>
      <w:r w:rsidR="00772AAC"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="00EA4BC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72AAC">
        <w:rPr>
          <w:rFonts w:ascii="Times New Roman" w:hAnsi="Times New Roman" w:cs="Times New Roman"/>
          <w:sz w:val="28"/>
          <w:szCs w:val="28"/>
        </w:rPr>
        <w:t>т</w:t>
      </w:r>
      <w:r w:rsidRPr="007D2236">
        <w:rPr>
          <w:rFonts w:ascii="Times New Roman" w:hAnsi="Times New Roman" w:cs="Times New Roman"/>
          <w:sz w:val="28"/>
          <w:szCs w:val="28"/>
        </w:rPr>
        <w:t>акі зауваження.</w:t>
      </w:r>
    </w:p>
    <w:p w14:paraId="203EE1E6" w14:textId="77777777" w:rsidR="00116D58" w:rsidRPr="007D2236" w:rsidRDefault="000B483E" w:rsidP="00AD782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lastRenderedPageBreak/>
        <w:t>1</w:t>
      </w:r>
      <w:r w:rsidR="00116D58" w:rsidRPr="007D2236">
        <w:rPr>
          <w:rFonts w:ascii="Times New Roman" w:hAnsi="Times New Roman"/>
          <w:b/>
          <w:i/>
          <w:sz w:val="28"/>
          <w:szCs w:val="28"/>
          <w:lang w:eastAsia="uk-UA"/>
        </w:rPr>
        <w:t>. Щодо змін до Закону України «Про банки і банківську діяльність» (далі у цьому пункті – Закон)</w:t>
      </w:r>
    </w:p>
    <w:p w14:paraId="276D05C7" w14:textId="6266C9FD" w:rsidR="00116D58" w:rsidRPr="00731BA7" w:rsidRDefault="00E24EBF" w:rsidP="00AD78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1.</w:t>
      </w:r>
      <w:r w:rsidR="00EB5B6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="000B284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16D58" w:rsidRPr="007D2236">
        <w:rPr>
          <w:rFonts w:ascii="Times New Roman" w:hAnsi="Times New Roman"/>
          <w:sz w:val="28"/>
          <w:szCs w:val="28"/>
          <w:lang w:eastAsia="uk-UA"/>
        </w:rPr>
        <w:t>У визначенні поняття «</w:t>
      </w:r>
      <w:r w:rsidR="00116D58" w:rsidRPr="007D2236">
        <w:rPr>
          <w:rFonts w:ascii="Times New Roman" w:hAnsi="Times New Roman"/>
          <w:bCs/>
          <w:sz w:val="28"/>
          <w:szCs w:val="28"/>
        </w:rPr>
        <w:t xml:space="preserve">Державний реєстр банків – реєстр, що ведеться Національним банком України і містить визначені Національним банком України відомості про банки та їх відокремлені підрозділи, а також філії та представництва іноземних банків в Україні» (зміни до ст. 2 Закону) акцент, на наш погляд, має бути зміщений у бік безпосередньо суті </w:t>
      </w:r>
      <w:r w:rsidR="003A45B9" w:rsidRPr="003A45B9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116D58" w:rsidRPr="007D2236">
        <w:rPr>
          <w:rFonts w:ascii="Times New Roman" w:hAnsi="Times New Roman"/>
          <w:bCs/>
          <w:sz w:val="28"/>
          <w:szCs w:val="28"/>
        </w:rPr>
        <w:t xml:space="preserve">(цільового призначення) </w:t>
      </w:r>
      <w:r w:rsidR="00116D58" w:rsidRPr="00731BA7">
        <w:rPr>
          <w:rFonts w:ascii="Times New Roman" w:hAnsi="Times New Roman"/>
          <w:bCs/>
          <w:sz w:val="28"/>
          <w:szCs w:val="28"/>
        </w:rPr>
        <w:t xml:space="preserve">реєстру як такого, а не визначення суб’єкта, який веде такий реєстр, що, загалом, є вторинним. Останнє взагалі цілком може бути виключено </w:t>
      </w:r>
      <w:r w:rsidR="00B169E6" w:rsidRPr="00731BA7">
        <w:rPr>
          <w:rFonts w:ascii="Times New Roman" w:hAnsi="Times New Roman"/>
          <w:bCs/>
          <w:sz w:val="28"/>
          <w:szCs w:val="28"/>
        </w:rPr>
        <w:t>і</w:t>
      </w:r>
      <w:r w:rsidR="00116D58" w:rsidRPr="00731BA7">
        <w:rPr>
          <w:rFonts w:ascii="Times New Roman" w:hAnsi="Times New Roman"/>
          <w:bCs/>
          <w:sz w:val="28"/>
          <w:szCs w:val="28"/>
        </w:rPr>
        <w:t>з пропонованого визначення, оскільки жодним чином не розкриває його зміст.</w:t>
      </w:r>
    </w:p>
    <w:p w14:paraId="1C83793D" w14:textId="77777777" w:rsidR="00116D58" w:rsidRPr="007D2236" w:rsidRDefault="000B483E" w:rsidP="00AD78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BA7">
        <w:rPr>
          <w:rFonts w:ascii="Times New Roman" w:hAnsi="Times New Roman"/>
          <w:bCs/>
          <w:sz w:val="28"/>
          <w:szCs w:val="28"/>
        </w:rPr>
        <w:t>1</w:t>
      </w:r>
      <w:r w:rsidR="00116D58" w:rsidRPr="00731BA7">
        <w:rPr>
          <w:rFonts w:ascii="Times New Roman" w:hAnsi="Times New Roman"/>
          <w:bCs/>
          <w:sz w:val="28"/>
          <w:szCs w:val="28"/>
        </w:rPr>
        <w:t>.</w:t>
      </w:r>
      <w:r w:rsidR="005159E3" w:rsidRPr="00731BA7">
        <w:rPr>
          <w:rFonts w:ascii="Times New Roman" w:hAnsi="Times New Roman"/>
          <w:bCs/>
          <w:sz w:val="28"/>
          <w:szCs w:val="28"/>
        </w:rPr>
        <w:t>2</w:t>
      </w:r>
      <w:r w:rsidR="00116D58" w:rsidRPr="00731BA7">
        <w:rPr>
          <w:rFonts w:ascii="Times New Roman" w:hAnsi="Times New Roman"/>
          <w:bCs/>
          <w:sz w:val="28"/>
          <w:szCs w:val="28"/>
        </w:rPr>
        <w:t>. У проекті пропонується доповнити Закон новим терміном «</w:t>
      </w:r>
      <w:r w:rsidR="00116D58" w:rsidRPr="00731BA7">
        <w:rPr>
          <w:rFonts w:ascii="Times New Roman" w:hAnsi="Times New Roman"/>
          <w:sz w:val="28"/>
          <w:szCs w:val="28"/>
        </w:rPr>
        <w:t xml:space="preserve">комбінований буфер капіталу – сукупний розмір буферів капіталу: буферу консервації, контрциклічного буферу, буферу системної важливості, буферу системного ризику». При цьому, ані поняття «буфер капіталу», ані вказані види буферів капіталу </w:t>
      </w:r>
      <w:r w:rsidR="005159E3" w:rsidRPr="00731BA7">
        <w:rPr>
          <w:rFonts w:ascii="Times New Roman" w:hAnsi="Times New Roman"/>
          <w:sz w:val="28"/>
          <w:szCs w:val="28"/>
        </w:rPr>
        <w:t xml:space="preserve">у проекті </w:t>
      </w:r>
      <w:r w:rsidR="00116D58" w:rsidRPr="00731BA7">
        <w:rPr>
          <w:rFonts w:ascii="Times New Roman" w:hAnsi="Times New Roman"/>
          <w:sz w:val="28"/>
          <w:szCs w:val="28"/>
        </w:rPr>
        <w:t>не визначаються</w:t>
      </w:r>
      <w:r w:rsidR="000745E9">
        <w:rPr>
          <w:rFonts w:ascii="Times New Roman" w:hAnsi="Times New Roman"/>
          <w:sz w:val="28"/>
          <w:szCs w:val="28"/>
        </w:rPr>
        <w:t>, що не забезпечує завершеність правового регулювання відповідних суспільних відносин.</w:t>
      </w:r>
    </w:p>
    <w:p w14:paraId="7ACED9BF" w14:textId="7119A59C" w:rsidR="00B10A14" w:rsidRDefault="00116D58" w:rsidP="00AD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236">
        <w:rPr>
          <w:rFonts w:ascii="Times New Roman" w:hAnsi="Times New Roman"/>
          <w:sz w:val="28"/>
          <w:szCs w:val="28"/>
        </w:rPr>
        <w:t>Зауваження аналогічного змісту стосується також понять</w:t>
      </w:r>
      <w:r w:rsidR="00BA01E8">
        <w:rPr>
          <w:rFonts w:ascii="Times New Roman" w:hAnsi="Times New Roman"/>
          <w:bCs/>
          <w:sz w:val="28"/>
          <w:szCs w:val="28"/>
        </w:rPr>
        <w:t xml:space="preserve"> </w:t>
      </w:r>
      <w:r w:rsidR="003C22E0" w:rsidRPr="003C22E0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BA01E8">
        <w:rPr>
          <w:rFonts w:ascii="Times New Roman" w:hAnsi="Times New Roman"/>
          <w:bCs/>
          <w:sz w:val="28"/>
          <w:szCs w:val="28"/>
        </w:rPr>
        <w:t xml:space="preserve">«капітал </w:t>
      </w:r>
      <w:r w:rsidR="002C4A3B">
        <w:rPr>
          <w:rFonts w:ascii="Times New Roman" w:hAnsi="Times New Roman"/>
          <w:bCs/>
          <w:sz w:val="28"/>
          <w:szCs w:val="28"/>
        </w:rPr>
        <w:t>1</w:t>
      </w:r>
      <w:bookmarkStart w:id="0" w:name="_GoBack"/>
      <w:bookmarkEnd w:id="0"/>
      <w:r w:rsidR="00BA01E8">
        <w:rPr>
          <w:rFonts w:ascii="Times New Roman" w:hAnsi="Times New Roman"/>
          <w:bCs/>
          <w:sz w:val="28"/>
          <w:szCs w:val="28"/>
        </w:rPr>
        <w:t xml:space="preserve"> рівня», «основний капітал 1 рівня», «додатковий капітал 1 рівня», «капітал 2 рівня», «сукупна експозиція під ризиком»</w:t>
      </w:r>
      <w:r w:rsidR="005159E3">
        <w:rPr>
          <w:rFonts w:ascii="Times New Roman" w:hAnsi="Times New Roman"/>
          <w:bCs/>
          <w:sz w:val="28"/>
          <w:szCs w:val="28"/>
        </w:rPr>
        <w:t>, «сукупні активи», «позабалансові зобов’язання» (</w:t>
      </w:r>
      <w:r w:rsidR="00BC7546">
        <w:rPr>
          <w:rFonts w:ascii="Times New Roman" w:hAnsi="Times New Roman"/>
          <w:bCs/>
          <w:sz w:val="28"/>
          <w:szCs w:val="28"/>
        </w:rPr>
        <w:t>див.: визначення понят</w:t>
      </w:r>
      <w:r w:rsidR="005159E3">
        <w:rPr>
          <w:rFonts w:ascii="Times New Roman" w:hAnsi="Times New Roman"/>
          <w:bCs/>
          <w:sz w:val="28"/>
          <w:szCs w:val="28"/>
        </w:rPr>
        <w:t>ь</w:t>
      </w:r>
      <w:r w:rsidR="00BC7546">
        <w:rPr>
          <w:rFonts w:ascii="Times New Roman" w:hAnsi="Times New Roman"/>
          <w:bCs/>
          <w:sz w:val="28"/>
          <w:szCs w:val="28"/>
        </w:rPr>
        <w:t xml:space="preserve"> «нормативи достатності капіталу»</w:t>
      </w:r>
      <w:r w:rsidR="005159E3">
        <w:rPr>
          <w:rFonts w:ascii="Times New Roman" w:hAnsi="Times New Roman"/>
          <w:bCs/>
          <w:sz w:val="28"/>
          <w:szCs w:val="28"/>
        </w:rPr>
        <w:t>, «коефіцієнт левериджу»</w:t>
      </w:r>
      <w:r w:rsidR="00BC7546">
        <w:rPr>
          <w:rFonts w:ascii="Times New Roman" w:hAnsi="Times New Roman"/>
          <w:bCs/>
          <w:sz w:val="28"/>
          <w:szCs w:val="28"/>
        </w:rPr>
        <w:t xml:space="preserve"> – зміни до ст. 2 Закону; структура регулятивного капіталу банку – оновлена ст. 30 Закону, у якій дається визначення </w:t>
      </w:r>
      <w:r w:rsidR="00944AA3">
        <w:rPr>
          <w:rFonts w:ascii="Times New Roman" w:hAnsi="Times New Roman"/>
          <w:bCs/>
          <w:sz w:val="28"/>
          <w:szCs w:val="28"/>
        </w:rPr>
        <w:t xml:space="preserve">чомусь </w:t>
      </w:r>
      <w:r w:rsidR="00BC7546">
        <w:rPr>
          <w:rFonts w:ascii="Times New Roman" w:hAnsi="Times New Roman"/>
          <w:bCs/>
          <w:sz w:val="28"/>
          <w:szCs w:val="28"/>
        </w:rPr>
        <w:t>лише поняття «</w:t>
      </w:r>
      <w:r w:rsidR="00B10A14" w:rsidRPr="007D2236">
        <w:rPr>
          <w:rFonts w:ascii="Times New Roman" w:hAnsi="Times New Roman" w:cs="Times New Roman"/>
          <w:sz w:val="28"/>
          <w:szCs w:val="28"/>
        </w:rPr>
        <w:t>інструмент з умовами списання/конверсії</w:t>
      </w:r>
      <w:r w:rsidR="00BC7546">
        <w:rPr>
          <w:rFonts w:ascii="Times New Roman" w:hAnsi="Times New Roman" w:cs="Times New Roman"/>
          <w:sz w:val="28"/>
          <w:szCs w:val="28"/>
        </w:rPr>
        <w:t>»)</w:t>
      </w:r>
      <w:r w:rsidR="00B10A14" w:rsidRPr="007D2236">
        <w:rPr>
          <w:rFonts w:ascii="Times New Roman" w:hAnsi="Times New Roman" w:cs="Times New Roman"/>
          <w:sz w:val="28"/>
          <w:szCs w:val="28"/>
        </w:rPr>
        <w:t>.</w:t>
      </w:r>
    </w:p>
    <w:p w14:paraId="6C846441" w14:textId="77777777" w:rsidR="0083504D" w:rsidRDefault="00B75945" w:rsidP="00AD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Принагідно звертаємо увагу на доцільність наведення у супровідних до проекту документах </w:t>
      </w:r>
      <w:r w:rsidR="00392572">
        <w:rPr>
          <w:rFonts w:ascii="Times New Roman" w:hAnsi="Times New Roman" w:cs="Times New Roman"/>
          <w:sz w:val="28"/>
          <w:szCs w:val="28"/>
        </w:rPr>
        <w:t xml:space="preserve">інформації </w:t>
      </w:r>
      <w:r w:rsidR="0083504D">
        <w:rPr>
          <w:rFonts w:ascii="Times New Roman" w:hAnsi="Times New Roman" w:cs="Times New Roman"/>
          <w:sz w:val="28"/>
          <w:szCs w:val="28"/>
        </w:rPr>
        <w:t>щодо можливості</w:t>
      </w:r>
      <w:r w:rsidR="00B10A14" w:rsidRPr="007D2236">
        <w:rPr>
          <w:rFonts w:ascii="Times New Roman" w:hAnsi="Times New Roman" w:cs="Times New Roman"/>
          <w:sz w:val="28"/>
          <w:szCs w:val="28"/>
        </w:rPr>
        <w:t xml:space="preserve"> банків забезпечити виконання </w:t>
      </w:r>
      <w:r w:rsidR="0083504D">
        <w:rPr>
          <w:rFonts w:ascii="Times New Roman" w:hAnsi="Times New Roman" w:cs="Times New Roman"/>
          <w:sz w:val="28"/>
          <w:szCs w:val="28"/>
        </w:rPr>
        <w:t xml:space="preserve">протягом передбаченого </w:t>
      </w:r>
      <w:r w:rsidR="00B10A14" w:rsidRPr="007D2236">
        <w:rPr>
          <w:rFonts w:ascii="Times New Roman" w:hAnsi="Times New Roman" w:cs="Times New Roman"/>
          <w:sz w:val="28"/>
          <w:szCs w:val="28"/>
        </w:rPr>
        <w:t>трирічного перехідного періоду</w:t>
      </w:r>
      <w:r w:rsidR="0083504D">
        <w:rPr>
          <w:rFonts w:ascii="Times New Roman" w:hAnsi="Times New Roman" w:cs="Times New Roman"/>
          <w:sz w:val="28"/>
          <w:szCs w:val="28"/>
        </w:rPr>
        <w:t xml:space="preserve"> встановлених вимог щодо відповідних нормативів, </w:t>
      </w:r>
      <w:r w:rsidR="00392572">
        <w:rPr>
          <w:rFonts w:ascii="Times New Roman" w:hAnsi="Times New Roman" w:cs="Times New Roman"/>
          <w:sz w:val="28"/>
          <w:szCs w:val="28"/>
        </w:rPr>
        <w:t xml:space="preserve">у тому числі, </w:t>
      </w:r>
      <w:r w:rsidR="0083504D">
        <w:rPr>
          <w:rFonts w:ascii="Times New Roman" w:hAnsi="Times New Roman" w:cs="Times New Roman"/>
          <w:sz w:val="28"/>
          <w:szCs w:val="28"/>
        </w:rPr>
        <w:t xml:space="preserve">з урахуванням етапності встановлення значень </w:t>
      </w:r>
      <w:r w:rsidR="00392572">
        <w:rPr>
          <w:rFonts w:ascii="Times New Roman" w:hAnsi="Times New Roman" w:cs="Times New Roman"/>
          <w:sz w:val="28"/>
          <w:szCs w:val="28"/>
        </w:rPr>
        <w:t>тих нормативів, для яких така є необхідною</w:t>
      </w:r>
      <w:r w:rsidR="00AE1FCC">
        <w:rPr>
          <w:rFonts w:ascii="Times New Roman" w:hAnsi="Times New Roman" w:cs="Times New Roman"/>
          <w:sz w:val="28"/>
          <w:szCs w:val="28"/>
        </w:rPr>
        <w:t xml:space="preserve"> і запланованою</w:t>
      </w:r>
      <w:r w:rsidR="00392572">
        <w:rPr>
          <w:rFonts w:ascii="Times New Roman" w:hAnsi="Times New Roman" w:cs="Times New Roman"/>
          <w:sz w:val="28"/>
          <w:szCs w:val="28"/>
        </w:rPr>
        <w:t>.</w:t>
      </w:r>
    </w:p>
    <w:p w14:paraId="2E06F2CC" w14:textId="132C2456" w:rsidR="00116D58" w:rsidRDefault="000B483E" w:rsidP="00AD78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6D58" w:rsidRPr="007D2236">
        <w:rPr>
          <w:rFonts w:ascii="Times New Roman" w:hAnsi="Times New Roman"/>
          <w:sz w:val="28"/>
          <w:szCs w:val="28"/>
        </w:rPr>
        <w:t>.</w:t>
      </w:r>
      <w:r w:rsidR="00FD0223">
        <w:rPr>
          <w:rFonts w:ascii="Times New Roman" w:hAnsi="Times New Roman"/>
          <w:sz w:val="28"/>
          <w:szCs w:val="28"/>
        </w:rPr>
        <w:t>3</w:t>
      </w:r>
      <w:r w:rsidR="00116D58" w:rsidRPr="007D2236">
        <w:rPr>
          <w:rFonts w:ascii="Times New Roman" w:hAnsi="Times New Roman"/>
          <w:sz w:val="28"/>
          <w:szCs w:val="28"/>
        </w:rPr>
        <w:t xml:space="preserve">. Виникає питання щодо виключення </w:t>
      </w:r>
      <w:r w:rsidR="00116D58" w:rsidRPr="007D2236">
        <w:rPr>
          <w:rFonts w:ascii="Times New Roman" w:hAnsi="Times New Roman"/>
          <w:bCs/>
          <w:sz w:val="28"/>
          <w:szCs w:val="28"/>
        </w:rPr>
        <w:t xml:space="preserve">терміну «капітал регулятивний» </w:t>
      </w:r>
      <w:r w:rsidR="001C18AD">
        <w:rPr>
          <w:rFonts w:ascii="Times New Roman" w:hAnsi="Times New Roman"/>
          <w:bCs/>
          <w:sz w:val="28"/>
          <w:szCs w:val="28"/>
        </w:rPr>
        <w:t xml:space="preserve">у </w:t>
      </w:r>
      <w:r w:rsidR="00116D58" w:rsidRPr="007D2236">
        <w:rPr>
          <w:rFonts w:ascii="Times New Roman" w:hAnsi="Times New Roman"/>
          <w:bCs/>
          <w:sz w:val="28"/>
          <w:szCs w:val="28"/>
        </w:rPr>
        <w:t>ст. 2 Закону, зважаючи, зокрема, на те, що новий те</w:t>
      </w:r>
      <w:r w:rsidR="00116D58" w:rsidRPr="007D2236">
        <w:rPr>
          <w:rFonts w:ascii="Times New Roman" w:hAnsi="Times New Roman"/>
          <w:sz w:val="28"/>
          <w:szCs w:val="28"/>
        </w:rPr>
        <w:t>рмін «</w:t>
      </w:r>
      <w:r w:rsidR="00116D58" w:rsidRPr="007D2236">
        <w:rPr>
          <w:rFonts w:ascii="Times New Roman" w:hAnsi="Times New Roman"/>
          <w:bCs/>
          <w:sz w:val="28"/>
          <w:szCs w:val="28"/>
        </w:rPr>
        <w:t>нормативи достатності капіталу – співвідношення основного капіталу</w:t>
      </w:r>
      <w:r w:rsidR="003C22E0" w:rsidRPr="003C22E0">
        <w:rPr>
          <w:rFonts w:ascii="Times New Roman" w:hAnsi="Times New Roman"/>
          <w:bCs/>
          <w:sz w:val="28"/>
          <w:szCs w:val="28"/>
        </w:rPr>
        <w:t xml:space="preserve"> </w:t>
      </w:r>
      <w:r w:rsidR="00116D58" w:rsidRPr="007D2236">
        <w:rPr>
          <w:rFonts w:ascii="Times New Roman" w:hAnsi="Times New Roman"/>
          <w:bCs/>
          <w:sz w:val="28"/>
          <w:szCs w:val="28"/>
        </w:rPr>
        <w:t xml:space="preserve">1 рівня, </w:t>
      </w:r>
      <w:r w:rsidR="003C22E0" w:rsidRPr="003C22E0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116D58" w:rsidRPr="007D2236">
        <w:rPr>
          <w:rFonts w:ascii="Times New Roman" w:hAnsi="Times New Roman"/>
          <w:bCs/>
          <w:sz w:val="28"/>
          <w:szCs w:val="28"/>
        </w:rPr>
        <w:t xml:space="preserve">капіталу 1 рівня, </w:t>
      </w:r>
      <w:r w:rsidR="00116D58" w:rsidRPr="007D2236">
        <w:rPr>
          <w:rFonts w:ascii="Times New Roman" w:hAnsi="Times New Roman"/>
          <w:bCs/>
          <w:i/>
          <w:sz w:val="28"/>
          <w:szCs w:val="28"/>
          <w:u w:val="single"/>
        </w:rPr>
        <w:t>регулятивного капіталу</w:t>
      </w:r>
      <w:r w:rsidR="00116D58" w:rsidRPr="007D2236">
        <w:rPr>
          <w:rFonts w:ascii="Times New Roman" w:hAnsi="Times New Roman"/>
          <w:bCs/>
          <w:sz w:val="28"/>
          <w:szCs w:val="28"/>
        </w:rPr>
        <w:t xml:space="preserve"> до сукупної експозиції під ризиком» містить термін «регулятивний капітал». Крім того, останній вживається й в інших приписах проекту (наприклад, зміни до ст. 9, оновлена ст. 30 Закону).</w:t>
      </w:r>
    </w:p>
    <w:p w14:paraId="5B9D4636" w14:textId="77777777" w:rsidR="00116D58" w:rsidRPr="007D2236" w:rsidRDefault="00712B04" w:rsidP="00AD78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31743F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116D58" w:rsidRPr="007D2236">
        <w:rPr>
          <w:rFonts w:ascii="Times New Roman" w:hAnsi="Times New Roman"/>
          <w:bCs/>
          <w:sz w:val="28"/>
          <w:szCs w:val="28"/>
        </w:rPr>
        <w:t>Згідно з п.п. 1, 2 ч. 6 оновленої ст. 9 Закону «</w:t>
      </w:r>
      <w:r w:rsidR="00116D58" w:rsidRPr="007D2236">
        <w:rPr>
          <w:rFonts w:ascii="Times New Roman" w:hAnsi="Times New Roman"/>
          <w:sz w:val="28"/>
          <w:szCs w:val="28"/>
        </w:rPr>
        <w:t xml:space="preserve">Національний банк України визначає для банківської групи та/або підгруп банківської групи: </w:t>
      </w:r>
    </w:p>
    <w:p w14:paraId="3B9B781C" w14:textId="77777777" w:rsidR="00116D58" w:rsidRPr="007D2236" w:rsidRDefault="00116D58" w:rsidP="00AD78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236">
        <w:rPr>
          <w:rFonts w:ascii="Times New Roman" w:hAnsi="Times New Roman"/>
          <w:sz w:val="28"/>
          <w:szCs w:val="28"/>
        </w:rPr>
        <w:t xml:space="preserve">1) порядок розрахунку  регулятивного капіталу; </w:t>
      </w:r>
    </w:p>
    <w:p w14:paraId="565B92A0" w14:textId="66056201" w:rsidR="00116D58" w:rsidRPr="007D2236" w:rsidRDefault="00116D58" w:rsidP="00AD78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236">
        <w:rPr>
          <w:rFonts w:ascii="Times New Roman" w:hAnsi="Times New Roman"/>
          <w:sz w:val="28"/>
          <w:szCs w:val="28"/>
        </w:rPr>
        <w:t xml:space="preserve">2) порядок розрахунку достатності основного капіталу 1 рівня,  </w:t>
      </w:r>
      <w:r w:rsidR="003C22E0" w:rsidRPr="003C22E0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7D2236">
        <w:rPr>
          <w:rFonts w:ascii="Times New Roman" w:hAnsi="Times New Roman"/>
          <w:sz w:val="28"/>
          <w:szCs w:val="28"/>
        </w:rPr>
        <w:t>капіталу 1 рівня, регулятивного капіталу та рівня їх достатності».</w:t>
      </w:r>
    </w:p>
    <w:p w14:paraId="1214F6C5" w14:textId="197CB3A0" w:rsidR="00116D58" w:rsidRPr="007D2236" w:rsidRDefault="0031743F" w:rsidP="00AD78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даному випадку </w:t>
      </w:r>
      <w:r w:rsidR="00116D58" w:rsidRPr="007D2236">
        <w:rPr>
          <w:rFonts w:ascii="Times New Roman" w:hAnsi="Times New Roman"/>
          <w:bCs/>
          <w:sz w:val="28"/>
          <w:szCs w:val="28"/>
        </w:rPr>
        <w:t>невдалою є редакція п. 2, у якому міститься подвійна вказівка на порядок розрахунку достатності відповідних видів капіталу</w:t>
      </w:r>
      <w:r w:rsidR="00AE1FCC">
        <w:rPr>
          <w:rFonts w:ascii="Times New Roman" w:hAnsi="Times New Roman"/>
          <w:bCs/>
          <w:sz w:val="28"/>
          <w:szCs w:val="28"/>
        </w:rPr>
        <w:t xml:space="preserve">, що </w:t>
      </w:r>
      <w:r w:rsidR="00116D58" w:rsidRPr="007D2236">
        <w:rPr>
          <w:rFonts w:ascii="Times New Roman" w:hAnsi="Times New Roman"/>
          <w:bCs/>
          <w:sz w:val="28"/>
          <w:szCs w:val="28"/>
        </w:rPr>
        <w:t>певною мірою ускладнює розуміння припису.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A02D6">
        <w:rPr>
          <w:rFonts w:ascii="Times New Roman" w:hAnsi="Times New Roman"/>
          <w:bCs/>
          <w:sz w:val="28"/>
          <w:szCs w:val="28"/>
        </w:rPr>
        <w:t>Відтак в</w:t>
      </w:r>
      <w:r w:rsidR="00116D58" w:rsidRPr="007D2236">
        <w:rPr>
          <w:rFonts w:ascii="Times New Roman" w:hAnsi="Times New Roman"/>
          <w:bCs/>
          <w:sz w:val="28"/>
          <w:szCs w:val="28"/>
        </w:rPr>
        <w:t xml:space="preserve">бачається доцільним </w:t>
      </w:r>
      <w:r w:rsidR="00116D58" w:rsidRPr="007D2236">
        <w:rPr>
          <w:rFonts w:ascii="Times New Roman" w:hAnsi="Times New Roman"/>
          <w:bCs/>
          <w:sz w:val="28"/>
          <w:szCs w:val="28"/>
        </w:rPr>
        <w:lastRenderedPageBreak/>
        <w:t xml:space="preserve">об’єднати приписи </w:t>
      </w:r>
      <w:r w:rsidR="00AE1FCC">
        <w:rPr>
          <w:rFonts w:ascii="Times New Roman" w:hAnsi="Times New Roman"/>
          <w:bCs/>
          <w:sz w:val="28"/>
          <w:szCs w:val="28"/>
        </w:rPr>
        <w:t>вказаних пунктів</w:t>
      </w:r>
      <w:r w:rsidR="00116D58" w:rsidRPr="007D2236">
        <w:rPr>
          <w:rFonts w:ascii="Times New Roman" w:hAnsi="Times New Roman"/>
          <w:bCs/>
          <w:sz w:val="28"/>
          <w:szCs w:val="28"/>
        </w:rPr>
        <w:t xml:space="preserve">, виклавши їх як один </w:t>
      </w:r>
      <w:r w:rsidR="00AE1FCC">
        <w:rPr>
          <w:rFonts w:ascii="Times New Roman" w:hAnsi="Times New Roman"/>
          <w:bCs/>
          <w:sz w:val="28"/>
          <w:szCs w:val="28"/>
        </w:rPr>
        <w:t xml:space="preserve">припис </w:t>
      </w:r>
      <w:r w:rsidR="00116D58" w:rsidRPr="007D2236">
        <w:rPr>
          <w:rFonts w:ascii="Times New Roman" w:hAnsi="Times New Roman"/>
          <w:bCs/>
          <w:sz w:val="28"/>
          <w:szCs w:val="28"/>
        </w:rPr>
        <w:t>– «</w:t>
      </w:r>
      <w:r w:rsidR="00116D58" w:rsidRPr="007D2236">
        <w:rPr>
          <w:rFonts w:ascii="Times New Roman" w:hAnsi="Times New Roman"/>
          <w:bCs/>
          <w:i/>
          <w:sz w:val="28"/>
          <w:szCs w:val="28"/>
        </w:rPr>
        <w:t>порядок розрахунку основного капіталу 1 рівня, капіталу 1 рівня, регулятивного капіталу та рівня їх достатності</w:t>
      </w:r>
      <w:r w:rsidR="00116D58" w:rsidRPr="007D2236">
        <w:rPr>
          <w:rFonts w:ascii="Times New Roman" w:hAnsi="Times New Roman"/>
          <w:bCs/>
          <w:sz w:val="28"/>
          <w:szCs w:val="28"/>
        </w:rPr>
        <w:t>».</w:t>
      </w:r>
    </w:p>
    <w:p w14:paraId="494B9398" w14:textId="77777777" w:rsidR="000B284E" w:rsidRPr="000B284E" w:rsidRDefault="000F1C7E" w:rsidP="00AD7825">
      <w:pPr>
        <w:spacing w:after="0" w:line="24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116D58" w:rsidRPr="007D2236">
        <w:rPr>
          <w:rFonts w:ascii="Times New Roman" w:hAnsi="Times New Roman"/>
          <w:bCs/>
          <w:sz w:val="28"/>
          <w:szCs w:val="28"/>
        </w:rPr>
        <w:t>.</w:t>
      </w:r>
      <w:r w:rsidR="001A02D6">
        <w:rPr>
          <w:rFonts w:ascii="Times New Roman" w:hAnsi="Times New Roman"/>
          <w:bCs/>
          <w:sz w:val="28"/>
          <w:szCs w:val="28"/>
        </w:rPr>
        <w:t>5</w:t>
      </w:r>
      <w:r w:rsidR="00116D58" w:rsidRPr="007D2236">
        <w:rPr>
          <w:rFonts w:ascii="Times New Roman" w:hAnsi="Times New Roman"/>
          <w:bCs/>
          <w:sz w:val="28"/>
          <w:szCs w:val="28"/>
        </w:rPr>
        <w:t xml:space="preserve">. </w:t>
      </w:r>
      <w:r w:rsidR="00E97935">
        <w:rPr>
          <w:rFonts w:ascii="Times New Roman" w:hAnsi="Times New Roman"/>
          <w:bCs/>
          <w:sz w:val="28"/>
          <w:szCs w:val="28"/>
        </w:rPr>
        <w:t xml:space="preserve">При визначенні </w:t>
      </w:r>
      <w:r w:rsidR="000B284E">
        <w:rPr>
          <w:rFonts w:ascii="Times New Roman" w:hAnsi="Times New Roman"/>
          <w:sz w:val="28"/>
          <w:szCs w:val="28"/>
        </w:rPr>
        <w:t>Закон</w:t>
      </w:r>
      <w:r w:rsidR="00E97935">
        <w:rPr>
          <w:rFonts w:ascii="Times New Roman" w:hAnsi="Times New Roman"/>
          <w:sz w:val="28"/>
          <w:szCs w:val="28"/>
        </w:rPr>
        <w:t>у</w:t>
      </w:r>
      <w:r w:rsidR="000B284E">
        <w:rPr>
          <w:rFonts w:ascii="Times New Roman" w:hAnsi="Times New Roman"/>
          <w:sz w:val="28"/>
          <w:szCs w:val="28"/>
        </w:rPr>
        <w:t xml:space="preserve"> </w:t>
      </w:r>
      <w:r w:rsidR="000B284E" w:rsidRPr="002C086C">
        <w:rPr>
          <w:rFonts w:ascii="Times New Roman" w:hAnsi="Times New Roman"/>
          <w:sz w:val="28"/>
          <w:szCs w:val="28"/>
        </w:rPr>
        <w:t xml:space="preserve">України «Про акціонерні товариства» у переліку </w:t>
      </w:r>
      <w:r w:rsidR="000B284E">
        <w:rPr>
          <w:rFonts w:ascii="Times New Roman" w:hAnsi="Times New Roman"/>
          <w:sz w:val="28"/>
          <w:szCs w:val="28"/>
        </w:rPr>
        <w:t>законодавчих акт</w:t>
      </w:r>
      <w:r w:rsidR="000B284E" w:rsidRPr="002C086C">
        <w:rPr>
          <w:rFonts w:ascii="Times New Roman" w:hAnsi="Times New Roman"/>
          <w:sz w:val="28"/>
          <w:szCs w:val="28"/>
        </w:rPr>
        <w:t>ів</w:t>
      </w:r>
      <w:r w:rsidR="000B284E">
        <w:rPr>
          <w:rFonts w:ascii="Times New Roman" w:hAnsi="Times New Roman"/>
          <w:sz w:val="28"/>
          <w:szCs w:val="28"/>
        </w:rPr>
        <w:t xml:space="preserve">, </w:t>
      </w:r>
      <w:r w:rsidR="000B284E" w:rsidRPr="002C086C">
        <w:rPr>
          <w:rFonts w:ascii="Times New Roman" w:hAnsi="Times New Roman"/>
          <w:sz w:val="28"/>
          <w:szCs w:val="28"/>
        </w:rPr>
        <w:t>вимогам яких повинен відповідати статут банку</w:t>
      </w:r>
      <w:r w:rsidR="000B284E">
        <w:rPr>
          <w:rFonts w:ascii="Times New Roman" w:hAnsi="Times New Roman"/>
          <w:sz w:val="28"/>
          <w:szCs w:val="28"/>
        </w:rPr>
        <w:t xml:space="preserve"> (оновлена </w:t>
      </w:r>
      <w:r w:rsidR="000B284E" w:rsidRPr="002C086C">
        <w:rPr>
          <w:rFonts w:ascii="Times New Roman" w:hAnsi="Times New Roman"/>
          <w:sz w:val="28"/>
          <w:szCs w:val="28"/>
        </w:rPr>
        <w:t>ч. 1 ст. 16 Закону</w:t>
      </w:r>
      <w:r w:rsidR="000B284E">
        <w:rPr>
          <w:rFonts w:ascii="Times New Roman" w:hAnsi="Times New Roman"/>
          <w:sz w:val="28"/>
          <w:szCs w:val="28"/>
        </w:rPr>
        <w:t>)</w:t>
      </w:r>
      <w:r w:rsidR="00E97935">
        <w:rPr>
          <w:rFonts w:ascii="Times New Roman" w:hAnsi="Times New Roman"/>
          <w:sz w:val="28"/>
          <w:szCs w:val="28"/>
        </w:rPr>
        <w:t xml:space="preserve">, слід враховувати той факт, що </w:t>
      </w:r>
      <w:r w:rsidR="000B284E" w:rsidRPr="002C086C">
        <w:rPr>
          <w:rFonts w:ascii="Times New Roman" w:hAnsi="Times New Roman"/>
          <w:sz w:val="28"/>
          <w:szCs w:val="28"/>
        </w:rPr>
        <w:t xml:space="preserve">згідно з ч. 6 ст. </w:t>
      </w:r>
      <w:r w:rsidR="000B284E" w:rsidRPr="000B284E">
        <w:rPr>
          <w:rFonts w:ascii="Times New Roman" w:hAnsi="Times New Roman" w:cs="Times New Roman"/>
          <w:sz w:val="28"/>
          <w:szCs w:val="28"/>
        </w:rPr>
        <w:t xml:space="preserve">1 Закону України «Про акціонерні товариства» у </w:t>
      </w:r>
      <w:r w:rsidR="000B284E" w:rsidRPr="000B284E">
        <w:rPr>
          <w:rStyle w:val="rvts0"/>
          <w:rFonts w:ascii="Times New Roman" w:hAnsi="Times New Roman" w:cs="Times New Roman"/>
          <w:sz w:val="28"/>
          <w:szCs w:val="28"/>
        </w:rPr>
        <w:t>разі суперечності норм цього Закону нормам законів, що регулюють порядок здійснення банківської діяльності</w:t>
      </w:r>
      <w:r w:rsidR="000B284E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="000B284E" w:rsidRPr="000B284E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0B284E" w:rsidRPr="000B284E">
        <w:rPr>
          <w:rStyle w:val="rvts0"/>
          <w:rFonts w:ascii="Times New Roman" w:hAnsi="Times New Roman" w:cs="Times New Roman"/>
          <w:i/>
          <w:sz w:val="28"/>
          <w:szCs w:val="28"/>
        </w:rPr>
        <w:t>норми законів</w:t>
      </w:r>
      <w:r w:rsidR="000B284E" w:rsidRPr="000B284E"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r w:rsidR="000B284E" w:rsidRPr="000B284E">
        <w:rPr>
          <w:rStyle w:val="rvts0"/>
          <w:rFonts w:ascii="Times New Roman" w:hAnsi="Times New Roman" w:cs="Times New Roman"/>
          <w:i/>
          <w:sz w:val="28"/>
          <w:szCs w:val="28"/>
        </w:rPr>
        <w:t>що регулюють порядок</w:t>
      </w:r>
      <w:r w:rsidR="000B284E">
        <w:rPr>
          <w:rStyle w:val="rvts0"/>
          <w:rFonts w:ascii="Times New Roman" w:hAnsi="Times New Roman" w:cs="Times New Roman"/>
          <w:i/>
          <w:sz w:val="28"/>
          <w:szCs w:val="28"/>
        </w:rPr>
        <w:t xml:space="preserve"> </w:t>
      </w:r>
      <w:r w:rsidR="000B284E" w:rsidRPr="000B284E">
        <w:rPr>
          <w:rStyle w:val="rvts0"/>
          <w:rFonts w:ascii="Times New Roman" w:hAnsi="Times New Roman" w:cs="Times New Roman"/>
          <w:i/>
          <w:sz w:val="28"/>
          <w:szCs w:val="28"/>
        </w:rPr>
        <w:t>здійснення банківської діяльності</w:t>
      </w:r>
      <w:r w:rsidR="000B284E">
        <w:rPr>
          <w:rStyle w:val="rvts0"/>
          <w:rFonts w:ascii="Times New Roman" w:hAnsi="Times New Roman" w:cs="Times New Roman"/>
          <w:i/>
          <w:sz w:val="28"/>
          <w:szCs w:val="28"/>
        </w:rPr>
        <w:t>,</w:t>
      </w:r>
      <w:r w:rsidR="000B284E" w:rsidRPr="000B284E">
        <w:rPr>
          <w:rStyle w:val="rvts0"/>
          <w:rFonts w:ascii="Times New Roman" w:hAnsi="Times New Roman" w:cs="Times New Roman"/>
          <w:i/>
          <w:sz w:val="28"/>
          <w:szCs w:val="28"/>
        </w:rPr>
        <w:t xml:space="preserve"> мають перевагу</w:t>
      </w:r>
      <w:r w:rsidR="000B284E" w:rsidRPr="000B284E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14:paraId="736A189D" w14:textId="77777777" w:rsidR="00116D58" w:rsidRPr="007D2236" w:rsidRDefault="000B284E" w:rsidP="00AD78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84E">
        <w:rPr>
          <w:rFonts w:ascii="Times New Roman" w:hAnsi="Times New Roman" w:cs="Times New Roman"/>
          <w:bCs/>
          <w:sz w:val="28"/>
          <w:szCs w:val="28"/>
        </w:rPr>
        <w:t>1.</w:t>
      </w:r>
      <w:r w:rsidR="00E97935">
        <w:rPr>
          <w:rFonts w:ascii="Times New Roman" w:hAnsi="Times New Roman" w:cs="Times New Roman"/>
          <w:bCs/>
          <w:sz w:val="28"/>
          <w:szCs w:val="28"/>
        </w:rPr>
        <w:t>6</w:t>
      </w:r>
      <w:r w:rsidRPr="000B28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16D58" w:rsidRPr="000B284E">
        <w:rPr>
          <w:rFonts w:ascii="Times New Roman" w:hAnsi="Times New Roman" w:cs="Times New Roman"/>
          <w:bCs/>
          <w:sz w:val="28"/>
          <w:szCs w:val="28"/>
        </w:rPr>
        <w:t>У ч. 2 он</w:t>
      </w:r>
      <w:r w:rsidR="00116D58" w:rsidRPr="007D2236">
        <w:rPr>
          <w:rFonts w:ascii="Times New Roman" w:hAnsi="Times New Roman"/>
          <w:bCs/>
          <w:sz w:val="28"/>
          <w:szCs w:val="28"/>
        </w:rPr>
        <w:t>овленої ст. 17 Закону, згідно з якою «д</w:t>
      </w:r>
      <w:r w:rsidR="00116D58" w:rsidRPr="007D2236">
        <w:rPr>
          <w:rFonts w:ascii="Times New Roman" w:hAnsi="Times New Roman"/>
          <w:sz w:val="28"/>
          <w:szCs w:val="28"/>
        </w:rPr>
        <w:t>окументи юридичної особи, яка має намір здійснювати банківську діяльність, можуть подаватися для проведення її державної реєстрації виключно після погодження Національним банком України статуту цієї юридичної особи», з метою належного розуміння, вбачається доцільним замінити слова «можуть подаватися» словом «подаються».</w:t>
      </w:r>
    </w:p>
    <w:p w14:paraId="483F3C8A" w14:textId="77777777" w:rsidR="00B326EF" w:rsidRDefault="000F1C7E" w:rsidP="00AD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6D58" w:rsidRPr="007D2236">
        <w:rPr>
          <w:rFonts w:ascii="Times New Roman" w:hAnsi="Times New Roman"/>
          <w:sz w:val="28"/>
          <w:szCs w:val="28"/>
        </w:rPr>
        <w:t>.</w:t>
      </w:r>
      <w:r w:rsidR="00323AB2">
        <w:rPr>
          <w:rFonts w:ascii="Times New Roman" w:hAnsi="Times New Roman"/>
          <w:sz w:val="28"/>
          <w:szCs w:val="28"/>
        </w:rPr>
        <w:t>7</w:t>
      </w:r>
      <w:r w:rsidR="00116D58" w:rsidRPr="007D2236">
        <w:rPr>
          <w:rFonts w:ascii="Times New Roman" w:hAnsi="Times New Roman"/>
          <w:sz w:val="28"/>
          <w:szCs w:val="28"/>
        </w:rPr>
        <w:t xml:space="preserve">. </w:t>
      </w:r>
      <w:r w:rsidR="00D2345C" w:rsidRPr="007D2236">
        <w:rPr>
          <w:rFonts w:ascii="Times New Roman" w:hAnsi="Times New Roman" w:cs="Times New Roman"/>
          <w:sz w:val="28"/>
          <w:szCs w:val="28"/>
        </w:rPr>
        <w:t>Пр</w:t>
      </w:r>
      <w:r w:rsidR="007F6420">
        <w:rPr>
          <w:rFonts w:ascii="Times New Roman" w:hAnsi="Times New Roman" w:cs="Times New Roman"/>
          <w:sz w:val="28"/>
          <w:szCs w:val="28"/>
        </w:rPr>
        <w:t>ипис</w:t>
      </w:r>
      <w:r w:rsidR="00B326EF">
        <w:rPr>
          <w:rFonts w:ascii="Times New Roman" w:hAnsi="Times New Roman" w:cs="Times New Roman"/>
          <w:sz w:val="28"/>
          <w:szCs w:val="28"/>
        </w:rPr>
        <w:t>и</w:t>
      </w:r>
      <w:r w:rsidR="007F6420">
        <w:rPr>
          <w:rFonts w:ascii="Times New Roman" w:hAnsi="Times New Roman" w:cs="Times New Roman"/>
          <w:sz w:val="28"/>
          <w:szCs w:val="28"/>
        </w:rPr>
        <w:t xml:space="preserve"> </w:t>
      </w:r>
      <w:r w:rsidR="00D2345C" w:rsidRPr="007D2236">
        <w:rPr>
          <w:rFonts w:ascii="Times New Roman" w:hAnsi="Times New Roman" w:cs="Times New Roman"/>
          <w:sz w:val="28"/>
          <w:szCs w:val="28"/>
        </w:rPr>
        <w:t>абз</w:t>
      </w:r>
      <w:r w:rsidR="00B326EF">
        <w:rPr>
          <w:rFonts w:ascii="Times New Roman" w:hAnsi="Times New Roman" w:cs="Times New Roman"/>
          <w:sz w:val="28"/>
          <w:szCs w:val="28"/>
        </w:rPr>
        <w:t>аців</w:t>
      </w:r>
      <w:r w:rsidR="00D2345C" w:rsidRPr="007D2236">
        <w:rPr>
          <w:rFonts w:ascii="Times New Roman" w:hAnsi="Times New Roman" w:cs="Times New Roman"/>
          <w:sz w:val="28"/>
          <w:szCs w:val="28"/>
        </w:rPr>
        <w:t xml:space="preserve"> 3</w:t>
      </w:r>
      <w:r w:rsidR="00B326EF">
        <w:rPr>
          <w:rFonts w:ascii="Times New Roman" w:hAnsi="Times New Roman" w:cs="Times New Roman"/>
          <w:sz w:val="28"/>
          <w:szCs w:val="28"/>
        </w:rPr>
        <w:t>, 4</w:t>
      </w:r>
      <w:r w:rsidR="00D2345C" w:rsidRPr="007D2236">
        <w:rPr>
          <w:rFonts w:ascii="Times New Roman" w:hAnsi="Times New Roman" w:cs="Times New Roman"/>
          <w:sz w:val="28"/>
          <w:szCs w:val="28"/>
        </w:rPr>
        <w:t xml:space="preserve"> п. 4 ч. 3 </w:t>
      </w:r>
      <w:r w:rsidR="00DA490C">
        <w:rPr>
          <w:rFonts w:ascii="Times New Roman" w:hAnsi="Times New Roman" w:cs="Times New Roman"/>
          <w:sz w:val="28"/>
          <w:szCs w:val="28"/>
        </w:rPr>
        <w:t xml:space="preserve">оновленої </w:t>
      </w:r>
      <w:r w:rsidR="00D2345C" w:rsidRPr="007D2236">
        <w:rPr>
          <w:rFonts w:ascii="Times New Roman" w:hAnsi="Times New Roman" w:cs="Times New Roman"/>
          <w:sz w:val="28"/>
          <w:szCs w:val="28"/>
        </w:rPr>
        <w:t xml:space="preserve">ст. 17 </w:t>
      </w:r>
      <w:r w:rsidR="00DA490C">
        <w:rPr>
          <w:rFonts w:ascii="Times New Roman" w:hAnsi="Times New Roman" w:cs="Times New Roman"/>
          <w:sz w:val="28"/>
          <w:szCs w:val="28"/>
        </w:rPr>
        <w:t xml:space="preserve">Закону, </w:t>
      </w:r>
      <w:r w:rsidR="00B326EF">
        <w:rPr>
          <w:rFonts w:ascii="Times New Roman" w:hAnsi="Times New Roman" w:cs="Times New Roman"/>
          <w:sz w:val="28"/>
          <w:szCs w:val="28"/>
        </w:rPr>
        <w:t xml:space="preserve">у яких йдеться про </w:t>
      </w:r>
      <w:r w:rsidR="00D2345C" w:rsidRPr="007D2236">
        <w:rPr>
          <w:rFonts w:ascii="Times New Roman" w:hAnsi="Times New Roman" w:cs="Times New Roman"/>
          <w:sz w:val="28"/>
          <w:szCs w:val="28"/>
        </w:rPr>
        <w:t xml:space="preserve">документи, визначені Національним банком України,  що доводять «відповідність фінансового стану засновника - юридичної  особи, майнового стану засновника - фізичної особи,  а також фінансового/майнового стану всіх осіб, які здійснюватимуть опосередковане володіння істотною участю в особі, яка має намір здійснювати банківську </w:t>
      </w:r>
      <w:r w:rsidR="00D2345C" w:rsidRPr="00B326EF">
        <w:rPr>
          <w:rFonts w:ascii="Times New Roman" w:hAnsi="Times New Roman" w:cs="Times New Roman"/>
          <w:sz w:val="28"/>
          <w:szCs w:val="28"/>
        </w:rPr>
        <w:t>діяльність,  установленим Національним банком України вимогам»</w:t>
      </w:r>
      <w:r w:rsidR="00B326EF" w:rsidRPr="00B326EF">
        <w:rPr>
          <w:rFonts w:ascii="Times New Roman" w:hAnsi="Times New Roman" w:cs="Times New Roman"/>
          <w:sz w:val="28"/>
          <w:szCs w:val="28"/>
        </w:rPr>
        <w:t xml:space="preserve"> та «</w:t>
      </w:r>
      <w:r w:rsidR="00B326EF" w:rsidRPr="00B326EF">
        <w:rPr>
          <w:rFonts w:ascii="Times New Roman" w:hAnsi="Times New Roman" w:cs="Times New Roman"/>
          <w:iCs/>
          <w:sz w:val="28"/>
          <w:szCs w:val="28"/>
        </w:rPr>
        <w:t>наявність у засновника (засновників) достатньої кількості власних коштів для здійснення заявленого внеску до статутного капіталу, джерела походження таких коштів»</w:t>
      </w:r>
      <w:r w:rsidR="00B326E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2345C" w:rsidRPr="007D2236">
        <w:rPr>
          <w:rFonts w:ascii="Times New Roman" w:hAnsi="Times New Roman" w:cs="Times New Roman"/>
          <w:sz w:val="28"/>
          <w:szCs w:val="28"/>
        </w:rPr>
        <w:t>по суті</w:t>
      </w:r>
      <w:r w:rsidR="00B326EF">
        <w:rPr>
          <w:rFonts w:ascii="Times New Roman" w:hAnsi="Times New Roman" w:cs="Times New Roman"/>
          <w:sz w:val="28"/>
          <w:szCs w:val="28"/>
        </w:rPr>
        <w:t>, належать до одного предмету регулювання, а тому вбачається доцільним об’єднати їх одним положенням.</w:t>
      </w:r>
    </w:p>
    <w:p w14:paraId="3D025D90" w14:textId="77777777" w:rsidR="00D2345C" w:rsidRDefault="00A54188" w:rsidP="00AD7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15">
        <w:rPr>
          <w:rFonts w:ascii="Times New Roman" w:hAnsi="Times New Roman" w:cs="Times New Roman"/>
          <w:sz w:val="28"/>
          <w:szCs w:val="28"/>
        </w:rPr>
        <w:t>1.</w:t>
      </w:r>
      <w:r w:rsidR="005C5839">
        <w:rPr>
          <w:rFonts w:ascii="Times New Roman" w:hAnsi="Times New Roman" w:cs="Times New Roman"/>
          <w:sz w:val="28"/>
          <w:szCs w:val="28"/>
        </w:rPr>
        <w:t>8</w:t>
      </w:r>
      <w:r w:rsidRPr="00624715">
        <w:rPr>
          <w:rFonts w:ascii="Times New Roman" w:hAnsi="Times New Roman" w:cs="Times New Roman"/>
          <w:sz w:val="28"/>
          <w:szCs w:val="28"/>
        </w:rPr>
        <w:t xml:space="preserve">. </w:t>
      </w:r>
      <w:r w:rsidR="00D2345C" w:rsidRP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 застереження положення нової ч. 7 ст. 17 Закону, згідно з як</w:t>
      </w:r>
      <w:r w:rsid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2345C" w:rsidRP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«Національний банк України має право вимагати, а засновник (засновники) юридичної особи, яка має намір здійснювати банківську діяльність, а також особи, які набудуть істотної участі в цій юридичній особі після її державної реєстрації, інші особи зобов’язані надати додаткову інформацію, документи та пояснення, необхідні для уточнення/перевірки наданих відповідно до вимог цієї статті документів/інформації, та/або для підтвердження виконання встановлених законодавством України вимог»,</w:t>
      </w:r>
      <w:r w:rsid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контексті, зокрема, того, що </w:t>
      </w:r>
      <w:r w:rsidR="00D2345C" w:rsidRP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 3 цієї ж статті передбачає вичерпний перелік документів, </w:t>
      </w:r>
      <w:r w:rsidR="00E00D6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="00D2345C" w:rsidRP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подаються для погодження Н</w:t>
      </w:r>
      <w:r w:rsid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аціональному банку України</w:t>
      </w:r>
      <w:r w:rsidR="00D2345C" w:rsidRP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</w:t>
      </w:r>
      <w:r w:rsid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наш погляд, </w:t>
      </w:r>
      <w:r w:rsidR="00D2345C" w:rsidRP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слід</w:t>
      </w:r>
      <w:r w:rsidR="00E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разі необхідності,</w:t>
      </w:r>
      <w:r w:rsid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45C" w:rsidRP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доповнювати із зазначенням конкретних документів.</w:t>
      </w:r>
      <w:r w:rsid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Принагідно зауважимо, що у</w:t>
      </w:r>
      <w:r w:rsidR="00D2345C" w:rsidRP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проекті не </w:t>
      </w:r>
      <w:r w:rsid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D2345C" w:rsidRP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значаються правові наслідки ненадання зазначених документів.</w:t>
      </w:r>
    </w:p>
    <w:p w14:paraId="1ECC3894" w14:textId="77777777" w:rsidR="00293DF3" w:rsidRPr="00731BA7" w:rsidRDefault="00624715" w:rsidP="00AD7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345C" w:rsidRPr="006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налогічне зауваження стосується й </w:t>
      </w:r>
      <w:r w:rsidR="006F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нової </w:t>
      </w:r>
      <w:r w:rsidR="00D2345C" w:rsidRPr="00293DF3">
        <w:rPr>
          <w:rFonts w:ascii="Times New Roman" w:eastAsia="Times New Roman" w:hAnsi="Times New Roman" w:cs="Times New Roman"/>
          <w:sz w:val="28"/>
          <w:szCs w:val="28"/>
          <w:lang w:eastAsia="ru-RU"/>
        </w:rPr>
        <w:t>ч. 4 ст. 19 Закону</w:t>
      </w:r>
      <w:r w:rsidR="00293DF3" w:rsidRPr="00293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якою «</w:t>
      </w:r>
      <w:r w:rsidR="00293DF3" w:rsidRPr="00293DF3">
        <w:rPr>
          <w:rFonts w:ascii="Times New Roman" w:hAnsi="Times New Roman"/>
          <w:sz w:val="28"/>
          <w:szCs w:val="28"/>
          <w:shd w:val="clear" w:color="auto" w:fill="FFFFFF"/>
        </w:rPr>
        <w:t xml:space="preserve">Національний банк України має право вимагати, а засновник (засновники) юридичної особи, яка має намір здійснювати банківську діяльність, власники істотної участі в ній, інші особи зобов’язані надати додаткову інформацію, документи та пояснення, що є необхідними для уточнення/перевірки наданих </w:t>
      </w:r>
      <w:r w:rsidR="00293DF3" w:rsidRPr="00293DF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відповідно до вимог цієї статті документів/інформації, та/або для підтвердження виконання встановлених законодавством України вимог».</w:t>
      </w:r>
      <w:r w:rsidR="00293DF3">
        <w:rPr>
          <w:rFonts w:ascii="Times New Roman" w:hAnsi="Times New Roman"/>
          <w:sz w:val="28"/>
          <w:szCs w:val="28"/>
          <w:shd w:val="clear" w:color="auto" w:fill="FFFFFF"/>
        </w:rPr>
        <w:t xml:space="preserve"> Перелік відповідної інформації вбачається доцільним </w:t>
      </w:r>
      <w:r w:rsidR="00293DF3" w:rsidRPr="00731BA7">
        <w:rPr>
          <w:rFonts w:ascii="Times New Roman" w:hAnsi="Times New Roman"/>
          <w:sz w:val="28"/>
          <w:szCs w:val="28"/>
          <w:shd w:val="clear" w:color="auto" w:fill="FFFFFF"/>
        </w:rPr>
        <w:t>конкретизувати у приписах статті, що визначають документи, які ю</w:t>
      </w:r>
      <w:r w:rsidR="00293DF3" w:rsidRPr="00731BA7">
        <w:rPr>
          <w:rFonts w:ascii="Times New Roman" w:hAnsi="Times New Roman"/>
          <w:sz w:val="28"/>
          <w:szCs w:val="28"/>
        </w:rPr>
        <w:t>ридична особа, яка має намір здійснювати банківську діяльність, для отримання банківської ліцензії подає Національному банку України разом із заявою про видачу банківської ліцензії.</w:t>
      </w:r>
    </w:p>
    <w:p w14:paraId="1BA34263" w14:textId="5436514A" w:rsidR="00D2345C" w:rsidRDefault="006F0D20" w:rsidP="00AD78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5839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6DCC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</w:t>
      </w:r>
      <w:r w:rsidR="00924109" w:rsidRPr="00731BA7">
        <w:rPr>
          <w:rFonts w:ascii="Times New Roman" w:hAnsi="Times New Roman" w:cs="Times New Roman"/>
          <w:bCs/>
          <w:sz w:val="28"/>
          <w:szCs w:val="28"/>
        </w:rPr>
        <w:t>оновлен</w:t>
      </w:r>
      <w:r w:rsidR="00316DCC" w:rsidRPr="00731BA7">
        <w:rPr>
          <w:rFonts w:ascii="Times New Roman" w:hAnsi="Times New Roman" w:cs="Times New Roman"/>
          <w:bCs/>
          <w:sz w:val="28"/>
          <w:szCs w:val="28"/>
        </w:rPr>
        <w:t>им п</w:t>
      </w:r>
      <w:r w:rsidR="00924109" w:rsidRPr="00731BA7">
        <w:rPr>
          <w:rFonts w:ascii="Times New Roman" w:hAnsi="Times New Roman" w:cs="Times New Roman"/>
          <w:bCs/>
          <w:sz w:val="28"/>
          <w:szCs w:val="28"/>
        </w:rPr>
        <w:t>. 3 ч. 1 ст. 18 Закону</w:t>
      </w:r>
      <w:r w:rsidR="00316DCC" w:rsidRPr="00731B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109" w:rsidRPr="00731BA7">
        <w:rPr>
          <w:rFonts w:ascii="Times New Roman" w:hAnsi="Times New Roman" w:cs="Times New Roman"/>
          <w:bCs/>
          <w:sz w:val="28"/>
          <w:szCs w:val="28"/>
        </w:rPr>
        <w:t>Національн</w:t>
      </w:r>
      <w:r w:rsidR="004370A2" w:rsidRPr="00731BA7">
        <w:rPr>
          <w:rFonts w:ascii="Times New Roman" w:hAnsi="Times New Roman" w:cs="Times New Roman"/>
          <w:bCs/>
          <w:sz w:val="28"/>
          <w:szCs w:val="28"/>
        </w:rPr>
        <w:t>ий</w:t>
      </w:r>
      <w:r w:rsidR="00316DCC" w:rsidRPr="00731B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109" w:rsidRPr="00731BA7">
        <w:rPr>
          <w:rFonts w:ascii="Times New Roman" w:hAnsi="Times New Roman" w:cs="Times New Roman"/>
          <w:bCs/>
          <w:sz w:val="28"/>
          <w:szCs w:val="28"/>
        </w:rPr>
        <w:t>банк України має право відмовити у погодженні статуту у разі</w:t>
      </w:r>
      <w:r w:rsidR="00316DCC" w:rsidRPr="00731BA7">
        <w:rPr>
          <w:rFonts w:ascii="Times New Roman" w:hAnsi="Times New Roman" w:cs="Times New Roman"/>
          <w:bCs/>
          <w:sz w:val="28"/>
          <w:szCs w:val="28"/>
        </w:rPr>
        <w:t>,</w:t>
      </w:r>
      <w:r w:rsidR="00924109" w:rsidRPr="00731BA7">
        <w:rPr>
          <w:rFonts w:ascii="Times New Roman" w:hAnsi="Times New Roman" w:cs="Times New Roman"/>
          <w:bCs/>
          <w:sz w:val="28"/>
          <w:szCs w:val="28"/>
        </w:rPr>
        <w:t xml:space="preserve"> якщо «документи не відповідають вимогам </w:t>
      </w:r>
      <w:r w:rsidR="00924109" w:rsidRPr="00731BA7">
        <w:rPr>
          <w:rFonts w:ascii="Times New Roman" w:hAnsi="Times New Roman" w:cs="Times New Roman"/>
          <w:bCs/>
          <w:i/>
          <w:sz w:val="28"/>
          <w:szCs w:val="28"/>
        </w:rPr>
        <w:t xml:space="preserve">та/або містять </w:t>
      </w:r>
      <w:bookmarkStart w:id="1" w:name="_Hlk59722845"/>
      <w:r w:rsidR="00924109" w:rsidRPr="00731BA7">
        <w:rPr>
          <w:rFonts w:ascii="Times New Roman" w:hAnsi="Times New Roman" w:cs="Times New Roman"/>
          <w:bCs/>
          <w:i/>
          <w:sz w:val="28"/>
          <w:szCs w:val="28"/>
        </w:rPr>
        <w:t xml:space="preserve">інформацію/відомості, що </w:t>
      </w:r>
      <w:r w:rsidR="00924109" w:rsidRPr="00731BA7">
        <w:rPr>
          <w:rFonts w:ascii="Times New Roman" w:hAnsi="Times New Roman" w:cs="Times New Roman"/>
          <w:bCs/>
          <w:i/>
          <w:sz w:val="28"/>
          <w:szCs w:val="28"/>
          <w:u w:val="single"/>
        </w:rPr>
        <w:t>свідчать про порушення</w:t>
      </w:r>
      <w:r w:rsidR="00924109" w:rsidRPr="00731BA7">
        <w:rPr>
          <w:rFonts w:ascii="Times New Roman" w:hAnsi="Times New Roman" w:cs="Times New Roman"/>
          <w:bCs/>
          <w:i/>
          <w:sz w:val="28"/>
          <w:szCs w:val="28"/>
        </w:rPr>
        <w:t xml:space="preserve"> законів України чи нормативно-правових актів</w:t>
      </w:r>
      <w:r w:rsidR="00924109" w:rsidRPr="007D2236">
        <w:rPr>
          <w:rFonts w:ascii="Times New Roman" w:hAnsi="Times New Roman" w:cs="Times New Roman"/>
          <w:bCs/>
          <w:i/>
          <w:sz w:val="28"/>
          <w:szCs w:val="28"/>
        </w:rPr>
        <w:t xml:space="preserve"> Національного банку України</w:t>
      </w:r>
      <w:bookmarkEnd w:id="1"/>
      <w:r w:rsidR="00924109" w:rsidRPr="007D2236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24109" w:rsidRPr="007D2236">
        <w:rPr>
          <w:rFonts w:ascii="Times New Roman" w:hAnsi="Times New Roman" w:cs="Times New Roman"/>
          <w:bCs/>
          <w:sz w:val="28"/>
          <w:szCs w:val="28"/>
        </w:rPr>
        <w:t xml:space="preserve">. На наш погляд, виокремлення в якості </w:t>
      </w:r>
      <w:r w:rsidR="00316DCC">
        <w:rPr>
          <w:rFonts w:ascii="Times New Roman" w:hAnsi="Times New Roman" w:cs="Times New Roman"/>
          <w:bCs/>
          <w:sz w:val="28"/>
          <w:szCs w:val="28"/>
        </w:rPr>
        <w:t>відповід</w:t>
      </w:r>
      <w:r w:rsidR="00924109" w:rsidRPr="007D2236">
        <w:rPr>
          <w:rFonts w:ascii="Times New Roman" w:hAnsi="Times New Roman" w:cs="Times New Roman"/>
          <w:bCs/>
          <w:sz w:val="28"/>
          <w:szCs w:val="28"/>
        </w:rPr>
        <w:t xml:space="preserve">ної підстави </w:t>
      </w:r>
      <w:r w:rsidR="00316DCC">
        <w:rPr>
          <w:rFonts w:ascii="Times New Roman" w:hAnsi="Times New Roman" w:cs="Times New Roman"/>
          <w:bCs/>
          <w:sz w:val="28"/>
          <w:szCs w:val="28"/>
        </w:rPr>
        <w:t>не</w:t>
      </w:r>
      <w:r w:rsidR="00924109" w:rsidRPr="007D2236">
        <w:rPr>
          <w:rFonts w:ascii="Times New Roman" w:hAnsi="Times New Roman" w:cs="Times New Roman"/>
          <w:bCs/>
          <w:sz w:val="28"/>
          <w:szCs w:val="28"/>
        </w:rPr>
        <w:t>погодження статуту наявн</w:t>
      </w:r>
      <w:r w:rsidR="00316DCC">
        <w:rPr>
          <w:rFonts w:ascii="Times New Roman" w:hAnsi="Times New Roman" w:cs="Times New Roman"/>
          <w:bCs/>
          <w:sz w:val="28"/>
          <w:szCs w:val="28"/>
        </w:rPr>
        <w:t>ості</w:t>
      </w:r>
      <w:r w:rsidR="00924109" w:rsidRPr="007D2236">
        <w:rPr>
          <w:rFonts w:ascii="Times New Roman" w:hAnsi="Times New Roman" w:cs="Times New Roman"/>
          <w:bCs/>
          <w:sz w:val="28"/>
          <w:szCs w:val="28"/>
        </w:rPr>
        <w:t xml:space="preserve"> інформації/відомост</w:t>
      </w:r>
      <w:r w:rsidR="00316DCC">
        <w:rPr>
          <w:rFonts w:ascii="Times New Roman" w:hAnsi="Times New Roman" w:cs="Times New Roman"/>
          <w:bCs/>
          <w:sz w:val="28"/>
          <w:szCs w:val="28"/>
        </w:rPr>
        <w:t>ей</w:t>
      </w:r>
      <w:r w:rsidR="00924109" w:rsidRPr="007D2236">
        <w:rPr>
          <w:rFonts w:ascii="Times New Roman" w:hAnsi="Times New Roman" w:cs="Times New Roman"/>
          <w:bCs/>
          <w:sz w:val="28"/>
          <w:szCs w:val="28"/>
        </w:rPr>
        <w:t>, що свідчать про порушення законів України чи нормативно-правових актів Національного банку України</w:t>
      </w:r>
      <w:r w:rsidR="00316DCC">
        <w:rPr>
          <w:rFonts w:ascii="Times New Roman" w:hAnsi="Times New Roman" w:cs="Times New Roman"/>
          <w:bCs/>
          <w:sz w:val="28"/>
          <w:szCs w:val="28"/>
        </w:rPr>
        <w:t>,</w:t>
      </w:r>
      <w:r w:rsidR="00924109" w:rsidRPr="007D2236">
        <w:rPr>
          <w:rFonts w:ascii="Times New Roman" w:hAnsi="Times New Roman" w:cs="Times New Roman"/>
          <w:bCs/>
          <w:sz w:val="28"/>
          <w:szCs w:val="28"/>
        </w:rPr>
        <w:t xml:space="preserve"> виглядає недостатньо обґрунтованим, </w:t>
      </w:r>
      <w:r w:rsidR="00316DCC">
        <w:rPr>
          <w:rFonts w:ascii="Times New Roman" w:hAnsi="Times New Roman" w:cs="Times New Roman"/>
          <w:bCs/>
          <w:sz w:val="28"/>
          <w:szCs w:val="28"/>
        </w:rPr>
        <w:t xml:space="preserve">оскільки, </w:t>
      </w:r>
      <w:r w:rsidR="00924109" w:rsidRPr="007D2236">
        <w:rPr>
          <w:rFonts w:ascii="Times New Roman" w:hAnsi="Times New Roman" w:cs="Times New Roman"/>
          <w:bCs/>
          <w:sz w:val="28"/>
          <w:szCs w:val="28"/>
        </w:rPr>
        <w:t xml:space="preserve">по-перше, відмова </w:t>
      </w:r>
      <w:r w:rsidR="00316DCC">
        <w:rPr>
          <w:rFonts w:ascii="Times New Roman" w:hAnsi="Times New Roman" w:cs="Times New Roman"/>
          <w:bCs/>
          <w:sz w:val="28"/>
          <w:szCs w:val="28"/>
        </w:rPr>
        <w:t xml:space="preserve">Національного банку України </w:t>
      </w:r>
      <w:r w:rsidR="00924109" w:rsidRPr="007D2236">
        <w:rPr>
          <w:rFonts w:ascii="Times New Roman" w:hAnsi="Times New Roman" w:cs="Times New Roman"/>
          <w:bCs/>
          <w:sz w:val="28"/>
          <w:szCs w:val="28"/>
        </w:rPr>
        <w:t xml:space="preserve">ґрунтуватиметься, по суті, на </w:t>
      </w:r>
      <w:r w:rsidR="005C5839">
        <w:rPr>
          <w:rFonts w:ascii="Times New Roman" w:hAnsi="Times New Roman" w:cs="Times New Roman"/>
          <w:bCs/>
          <w:sz w:val="28"/>
          <w:szCs w:val="28"/>
        </w:rPr>
        <w:t xml:space="preserve">його </w:t>
      </w:r>
      <w:r w:rsidR="00924109" w:rsidRPr="007D2236">
        <w:rPr>
          <w:rFonts w:ascii="Times New Roman" w:hAnsi="Times New Roman" w:cs="Times New Roman"/>
          <w:bCs/>
          <w:sz w:val="28"/>
          <w:szCs w:val="28"/>
        </w:rPr>
        <w:t xml:space="preserve">суб’єктивній оцінці </w:t>
      </w:r>
      <w:r w:rsidR="00316DCC" w:rsidRPr="00316DCC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924109" w:rsidRPr="007D2236">
        <w:rPr>
          <w:rFonts w:ascii="Times New Roman" w:hAnsi="Times New Roman" w:cs="Times New Roman"/>
          <w:bCs/>
          <w:i/>
          <w:sz w:val="28"/>
          <w:szCs w:val="28"/>
        </w:rPr>
        <w:t>мовірних</w:t>
      </w:r>
      <w:r w:rsidR="00924109" w:rsidRPr="007D2236">
        <w:rPr>
          <w:rFonts w:ascii="Times New Roman" w:hAnsi="Times New Roman" w:cs="Times New Roman"/>
          <w:bCs/>
          <w:sz w:val="28"/>
          <w:szCs w:val="28"/>
        </w:rPr>
        <w:t xml:space="preserve"> порушень законодавства, а, по-друге, такі порушення можуть безпосередньо не стосуватись банківської сфери.</w:t>
      </w:r>
    </w:p>
    <w:p w14:paraId="6136816A" w14:textId="6E76FF34" w:rsidR="00D10C24" w:rsidRDefault="00316DCC" w:rsidP="00AD7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9F596C">
        <w:rPr>
          <w:rFonts w:ascii="Times New Roman" w:hAnsi="Times New Roman"/>
          <w:sz w:val="28"/>
          <w:szCs w:val="28"/>
        </w:rPr>
        <w:t>1</w:t>
      </w:r>
      <w:r w:rsidR="00B846A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E0302E">
        <w:rPr>
          <w:rFonts w:ascii="Times New Roman" w:hAnsi="Times New Roman"/>
          <w:sz w:val="28"/>
          <w:szCs w:val="28"/>
        </w:rPr>
        <w:t xml:space="preserve"> </w:t>
      </w:r>
      <w:r w:rsidR="00D10C24">
        <w:rPr>
          <w:rFonts w:ascii="Times New Roman" w:hAnsi="Times New Roman"/>
          <w:sz w:val="28"/>
          <w:szCs w:val="28"/>
        </w:rPr>
        <w:t xml:space="preserve">У проекті повсюдно вживається формулювання «дотримання </w:t>
      </w:r>
      <w:r w:rsidR="00F03DA4" w:rsidRPr="00F03DA4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D10C24" w:rsidRPr="00D10C24">
        <w:rPr>
          <w:rFonts w:ascii="Times New Roman" w:hAnsi="Times New Roman"/>
          <w:i/>
          <w:sz w:val="28"/>
          <w:szCs w:val="28"/>
        </w:rPr>
        <w:t>норм</w:t>
      </w:r>
      <w:r w:rsidR="00D10C24">
        <w:rPr>
          <w:rFonts w:ascii="Times New Roman" w:hAnsi="Times New Roman"/>
          <w:sz w:val="28"/>
          <w:szCs w:val="28"/>
        </w:rPr>
        <w:t xml:space="preserve"> (комплаєнс)» (</w:t>
      </w:r>
      <w:r w:rsidR="00E0302E"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</w:t>
      </w:r>
      <w:r w:rsidR="00D10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0302E"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 5 ч. 2 ст. 19 Закону</w:t>
      </w:r>
      <w:r w:rsidR="00D1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інші)</w:t>
      </w:r>
      <w:r w:rsidR="00E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0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погляд, з метою належного розуміння відповідних приписів у проекті вбачається доцільним уточнити, про які норми йде мова (на кшталт, наприклад, визначеного у Положенні про організацію системи управління ризиками в банках України та банківських групах, затвердженого постановою Правління Національного банку України від 11.06.2018 № 64, поняття «підрозділ контролю за дотриманням норм (комплаєнс)», у якому йдеться про дотримання «</w:t>
      </w:r>
      <w:r w:rsidR="00D10C24" w:rsidRPr="00102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 (комплаєнс), визначених законодавством України, цим Положенням</w:t>
      </w:r>
      <w:r w:rsidR="00D10C2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(пп. 27 пп. 1 п. 1 розділу І)</w:t>
      </w:r>
      <w:r w:rsidR="00B846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0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FBB38" w14:textId="77777777" w:rsidR="00E0302E" w:rsidRPr="007D2236" w:rsidRDefault="00D10C24" w:rsidP="00AD7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0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2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Припис </w:t>
      </w:r>
      <w:r w:rsidR="00E0302E"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 ч. </w:t>
      </w:r>
      <w:r w:rsidR="000713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302E"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19 Закону щодо зобов’язання повідомляти </w:t>
      </w:r>
      <w:r w:rsidR="0058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Національний банк України </w:t>
      </w:r>
      <w:r w:rsidR="00E0302E"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«</w:t>
      </w:r>
      <w:r w:rsidR="00E0302E" w:rsidRPr="007D2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будь-які суттєві </w:t>
      </w:r>
      <w:r w:rsidR="00E0302E"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r w:rsidR="0058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02E"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="0058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відповідає принципу юридичної визначеності правової норми.</w:t>
      </w:r>
    </w:p>
    <w:p w14:paraId="0D8E028D" w14:textId="7875E61A" w:rsidR="00FB520B" w:rsidRDefault="00BA149A" w:rsidP="00AD7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1.1</w:t>
      </w:r>
      <w:r w:rsidR="00E252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нової ч. 5 ст. 19 Закону щодо зобов’язання</w:t>
      </w:r>
      <w:r w:rsidR="0023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юридичної особи, яка має намір здійснювати банківську діяльність, 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«забезпечити особам з інвалідністю та маломобільним групам населення доступність банківських та інших фінансових послуг, у тому числі доступ до приміщень, у яких здійснюється обслуговування клієнтів банку» не стосується </w:t>
      </w:r>
      <w:r w:rsidR="0023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 регулювання Закону. Зазначене питання, на наш погляд, має регулюватися спеціальним законодавством, яке встановлює загальні вимоги щодо </w:t>
      </w:r>
      <w:r w:rsidR="00A2089E" w:rsidRPr="00A208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232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безперешкодного життєвого середовища для осіб з обмеженими фізичними можливостями та інших маломобільних груп населення</w:t>
      </w:r>
      <w:r w:rsidR="00E2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такого, </w:t>
      </w:r>
      <w:r w:rsidR="00232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зокрема,</w:t>
      </w:r>
      <w:r w:rsidR="00E2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віднести </w:t>
      </w:r>
      <w:r w:rsidR="0023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«Про регулювання містобудівної діяльності», який, серед іншого, створення такого середовища відносить до діяльності державних органів, органів місцевого самоврядування, юридичних та фізичних осіб при плануванні і забудові території (ст. 2), а у частині осіб з інвалідністю – 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основи соціальної захищеності осіб з інвалідністю в Україні»</w:t>
      </w:r>
      <w:r w:rsidR="0023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встановлює </w:t>
      </w:r>
      <w:r w:rsidR="00391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</w:t>
      </w:r>
      <w:r w:rsidR="002329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1F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391FAC" w:rsidRPr="00391F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ідприємств, установ та </w:t>
      </w:r>
      <w:r w:rsidR="00391FAC" w:rsidRPr="00391FA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організаці</w:t>
      </w:r>
      <w:r w:rsidR="00391FAC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391FAC" w:rsidRPr="00391F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1FAC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391FAC" w:rsidRPr="00391FA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створювати умови для безперешкодного доступу осіб з інвалідністю (у тому числі осіб з інвалідністю, які використовують засоби пересування та собак-поводирів) до об’єктів фізичного оточення</w:t>
      </w:r>
      <w:r w:rsidR="00391FA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2329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(ст. 26).</w:t>
      </w:r>
    </w:p>
    <w:p w14:paraId="1C049F56" w14:textId="349B3654" w:rsidR="00391FAC" w:rsidRPr="00731BA7" w:rsidRDefault="0023298F" w:rsidP="00AD7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Принагідно звертаємо увагу на некоректність формулювання «</w:t>
      </w:r>
      <w:r w:rsidR="00D13C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 з інвалідністю </w:t>
      </w:r>
      <w:r w:rsidR="00D13CDB" w:rsidRPr="00955C6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та</w:t>
      </w:r>
      <w:r w:rsidR="00D13C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маломобільні групи населення», зважаючи, зокрема, на припис п. 16 ч.</w:t>
      </w:r>
      <w:r w:rsidR="00FB52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ст. 1 Закону України «Про регулювання містобудівної діяльності»</w:t>
      </w:r>
      <w:r w:rsidR="00D13CDB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яким «</w:t>
      </w:r>
      <w:r w:rsidR="00FB520B" w:rsidRPr="00D13CDB">
        <w:rPr>
          <w:rStyle w:val="rvts0"/>
          <w:rFonts w:ascii="Times New Roman" w:hAnsi="Times New Roman" w:cs="Times New Roman"/>
          <w:i/>
          <w:sz w:val="28"/>
          <w:szCs w:val="28"/>
          <w:u w:val="single"/>
        </w:rPr>
        <w:t>маломобільні</w:t>
      </w:r>
      <w:r w:rsidR="00FB520B" w:rsidRPr="00D13CDB">
        <w:rPr>
          <w:rStyle w:val="rvts0"/>
          <w:rFonts w:ascii="Times New Roman" w:hAnsi="Times New Roman" w:cs="Times New Roman"/>
          <w:sz w:val="28"/>
          <w:szCs w:val="28"/>
        </w:rPr>
        <w:t xml:space="preserve"> групи населення </w:t>
      </w:r>
      <w:r w:rsidR="00D13CDB">
        <w:rPr>
          <w:rStyle w:val="rvts0"/>
          <w:rFonts w:ascii="Times New Roman" w:hAnsi="Times New Roman" w:cs="Times New Roman"/>
          <w:sz w:val="28"/>
          <w:szCs w:val="28"/>
        </w:rPr>
        <w:t>–</w:t>
      </w:r>
      <w:r w:rsidR="00FB520B" w:rsidRPr="00D13CDB">
        <w:rPr>
          <w:rStyle w:val="rvts0"/>
          <w:rFonts w:ascii="Times New Roman" w:hAnsi="Times New Roman" w:cs="Times New Roman"/>
          <w:sz w:val="28"/>
          <w:szCs w:val="28"/>
        </w:rPr>
        <w:t xml:space="preserve"> особи, які відчувають труднощі при самостійному пересуванні, одержанні послуги, необхідної інформації або </w:t>
      </w:r>
      <w:r w:rsidR="00FB520B" w:rsidRPr="00731BA7">
        <w:rPr>
          <w:rStyle w:val="rvts0"/>
          <w:rFonts w:ascii="Times New Roman" w:hAnsi="Times New Roman" w:cs="Times New Roman"/>
          <w:sz w:val="28"/>
          <w:szCs w:val="28"/>
        </w:rPr>
        <w:t xml:space="preserve">при орієнтуванні у просторі, </w:t>
      </w:r>
      <w:r w:rsidR="00FB520B" w:rsidRPr="00731BA7">
        <w:rPr>
          <w:rStyle w:val="rvts0"/>
          <w:rFonts w:ascii="Times New Roman" w:hAnsi="Times New Roman" w:cs="Times New Roman"/>
          <w:i/>
          <w:sz w:val="28"/>
          <w:szCs w:val="28"/>
        </w:rPr>
        <w:t xml:space="preserve">зокрема особи з інвалідністю, особи з тимчасовим порушенням здоров’я, вагітні жінки, громадяни </w:t>
      </w:r>
      <w:r w:rsidR="00A2089E" w:rsidRPr="00A2089E">
        <w:rPr>
          <w:rStyle w:val="rvts0"/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FB520B" w:rsidRPr="00731BA7">
        <w:rPr>
          <w:rStyle w:val="rvts0"/>
          <w:rFonts w:ascii="Times New Roman" w:hAnsi="Times New Roman" w:cs="Times New Roman"/>
          <w:i/>
          <w:sz w:val="28"/>
          <w:szCs w:val="28"/>
        </w:rPr>
        <w:t>похилого віку, особи з дитячими візками</w:t>
      </w:r>
      <w:r w:rsidR="00D13CDB" w:rsidRPr="00731BA7">
        <w:rPr>
          <w:rStyle w:val="rvts0"/>
          <w:rFonts w:ascii="Times New Roman" w:hAnsi="Times New Roman" w:cs="Times New Roman"/>
          <w:sz w:val="28"/>
          <w:szCs w:val="28"/>
        </w:rPr>
        <w:t>»</w:t>
      </w:r>
      <w:r w:rsidR="00FB520B" w:rsidRPr="00731BA7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391FAC" w:rsidRPr="00731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5270" w:rsidRPr="00731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="00D13CDB" w:rsidRPr="00731BA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коректн</w:t>
      </w:r>
      <w:r w:rsidR="00E25270" w:rsidRPr="00731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им є </w:t>
      </w:r>
      <w:r w:rsidR="00D13CDB" w:rsidRPr="00731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формулювання «особи з інвалідністю </w:t>
      </w:r>
      <w:r w:rsidR="00D13CDB" w:rsidRPr="00731B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 інші</w:t>
      </w:r>
      <w:r w:rsidR="00D13CDB" w:rsidRPr="00731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маломобільні групи </w:t>
      </w:r>
      <w:r w:rsidR="00E25270" w:rsidRPr="00731BA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13CDB" w:rsidRPr="00731BA7">
        <w:rPr>
          <w:rFonts w:ascii="Times New Roman" w:eastAsia="Times New Roman" w:hAnsi="Times New Roman" w:cs="Times New Roman"/>
          <w:sz w:val="28"/>
          <w:szCs w:val="28"/>
          <w:lang w:eastAsia="uk-UA"/>
        </w:rPr>
        <w:t>аселення».</w:t>
      </w:r>
    </w:p>
    <w:p w14:paraId="786174FD" w14:textId="387CC3AD" w:rsidR="00955C63" w:rsidRDefault="005861D0" w:rsidP="00AD78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BA7">
        <w:rPr>
          <w:rFonts w:ascii="Times New Roman" w:hAnsi="Times New Roman"/>
          <w:sz w:val="28"/>
          <w:szCs w:val="28"/>
        </w:rPr>
        <w:t>1.1</w:t>
      </w:r>
      <w:r w:rsidR="00E25270" w:rsidRPr="00731BA7">
        <w:rPr>
          <w:rFonts w:ascii="Times New Roman" w:hAnsi="Times New Roman"/>
          <w:sz w:val="28"/>
          <w:szCs w:val="28"/>
        </w:rPr>
        <w:t>3</w:t>
      </w:r>
      <w:r w:rsidRPr="00731BA7">
        <w:rPr>
          <w:rFonts w:ascii="Times New Roman" w:hAnsi="Times New Roman"/>
          <w:sz w:val="28"/>
          <w:szCs w:val="28"/>
        </w:rPr>
        <w:t>.</w:t>
      </w:r>
      <w:r w:rsidR="00582BB1" w:rsidRPr="00731BA7">
        <w:rPr>
          <w:rFonts w:ascii="Times New Roman" w:hAnsi="Times New Roman"/>
          <w:sz w:val="28"/>
          <w:szCs w:val="28"/>
        </w:rPr>
        <w:t xml:space="preserve"> </w:t>
      </w:r>
      <w:r w:rsidR="00A94CBB" w:rsidRPr="00731BA7">
        <w:rPr>
          <w:rFonts w:ascii="Times New Roman" w:hAnsi="Times New Roman"/>
          <w:sz w:val="28"/>
          <w:szCs w:val="28"/>
        </w:rPr>
        <w:t>На наш погляд, п</w:t>
      </w:r>
      <w:r w:rsidR="00582BB1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отребує додаткового обґрунтування визначення в оновленій </w:t>
      </w:r>
      <w:r w:rsidR="00582BB1" w:rsidRPr="00731BA7">
        <w:rPr>
          <w:rFonts w:ascii="Times New Roman" w:hAnsi="Times New Roman" w:cs="Times New Roman"/>
          <w:sz w:val="28"/>
          <w:szCs w:val="28"/>
        </w:rPr>
        <w:t>ст. 19</w:t>
      </w:r>
      <w:r w:rsidR="00582BB1" w:rsidRPr="00731B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82BB1" w:rsidRPr="00731BA7">
        <w:rPr>
          <w:rFonts w:ascii="Times New Roman" w:hAnsi="Times New Roman" w:cs="Times New Roman"/>
          <w:sz w:val="28"/>
          <w:szCs w:val="28"/>
        </w:rPr>
        <w:t xml:space="preserve"> Закону </w:t>
      </w:r>
      <w:r w:rsidR="000F016B" w:rsidRPr="00731BA7">
        <w:rPr>
          <w:rFonts w:ascii="Times New Roman" w:hAnsi="Times New Roman" w:cs="Times New Roman"/>
          <w:sz w:val="28"/>
          <w:szCs w:val="28"/>
        </w:rPr>
        <w:t>в</w:t>
      </w:r>
      <w:r w:rsidR="00E26BA6" w:rsidRPr="00731BA7">
        <w:rPr>
          <w:rFonts w:ascii="Times New Roman" w:hAnsi="Times New Roman" w:cs="Times New Roman"/>
          <w:sz w:val="28"/>
          <w:szCs w:val="28"/>
        </w:rPr>
        <w:t xml:space="preserve"> якості </w:t>
      </w:r>
      <w:r w:rsidR="00582BB1" w:rsidRPr="00731BA7">
        <w:rPr>
          <w:rFonts w:ascii="Times New Roman" w:hAnsi="Times New Roman" w:cs="Times New Roman"/>
          <w:sz w:val="28"/>
          <w:szCs w:val="28"/>
        </w:rPr>
        <w:t xml:space="preserve">підстави для відмови </w:t>
      </w:r>
      <w:r w:rsidR="00955C63" w:rsidRPr="00731BA7">
        <w:rPr>
          <w:rFonts w:ascii="Times New Roman" w:hAnsi="Times New Roman" w:cs="Times New Roman"/>
          <w:sz w:val="28"/>
          <w:szCs w:val="28"/>
        </w:rPr>
        <w:t>Національного банку України юридичній особі, яка</w:t>
      </w:r>
      <w:r w:rsidR="00955C63">
        <w:rPr>
          <w:rFonts w:ascii="Times New Roman" w:hAnsi="Times New Roman" w:cs="Times New Roman"/>
          <w:sz w:val="28"/>
          <w:szCs w:val="28"/>
        </w:rPr>
        <w:t xml:space="preserve"> має намір здійснювати банківську діяльність, </w:t>
      </w:r>
      <w:r w:rsidR="00582BB1" w:rsidRPr="007D2236">
        <w:rPr>
          <w:rFonts w:ascii="Times New Roman" w:hAnsi="Times New Roman" w:cs="Times New Roman"/>
          <w:sz w:val="28"/>
          <w:szCs w:val="28"/>
        </w:rPr>
        <w:t>у видачі банківської ліцензії відсутн</w:t>
      </w:r>
      <w:r w:rsidR="00955C63">
        <w:rPr>
          <w:rFonts w:ascii="Times New Roman" w:hAnsi="Times New Roman" w:cs="Times New Roman"/>
          <w:sz w:val="28"/>
          <w:szCs w:val="28"/>
        </w:rPr>
        <w:t xml:space="preserve">ість </w:t>
      </w:r>
      <w:r w:rsidR="00582BB1" w:rsidRPr="007D2236">
        <w:rPr>
          <w:rFonts w:ascii="Times New Roman" w:hAnsi="Times New Roman" w:cs="Times New Roman"/>
          <w:sz w:val="28"/>
          <w:szCs w:val="28"/>
        </w:rPr>
        <w:t>«спеціалістів, необхідних для забезпечення надання банківських та інших фінансових послуг, а також забезпечення здійснення внутрішнього контролю та управління ризиками» (п. 8</w:t>
      </w:r>
      <w:r w:rsidR="00582BB1">
        <w:rPr>
          <w:rFonts w:ascii="Times New Roman" w:hAnsi="Times New Roman" w:cs="Times New Roman"/>
          <w:sz w:val="28"/>
          <w:szCs w:val="28"/>
        </w:rPr>
        <w:t xml:space="preserve"> ч. 1</w:t>
      </w:r>
      <w:r w:rsidR="00582BB1" w:rsidRPr="007D2236">
        <w:rPr>
          <w:rFonts w:ascii="Times New Roman" w:hAnsi="Times New Roman" w:cs="Times New Roman"/>
          <w:sz w:val="28"/>
          <w:szCs w:val="28"/>
        </w:rPr>
        <w:t>), враховуючи</w:t>
      </w:r>
      <w:r w:rsidR="00955C63">
        <w:rPr>
          <w:rFonts w:ascii="Times New Roman" w:hAnsi="Times New Roman" w:cs="Times New Roman"/>
          <w:sz w:val="28"/>
          <w:szCs w:val="28"/>
        </w:rPr>
        <w:t xml:space="preserve"> те</w:t>
      </w:r>
      <w:r w:rsidR="00582BB1" w:rsidRPr="007D2236">
        <w:rPr>
          <w:rFonts w:ascii="Times New Roman" w:hAnsi="Times New Roman" w:cs="Times New Roman"/>
          <w:sz w:val="28"/>
          <w:szCs w:val="28"/>
        </w:rPr>
        <w:t xml:space="preserve">, що </w:t>
      </w:r>
      <w:r w:rsidR="00582BB1" w:rsidRPr="00731BA7">
        <w:rPr>
          <w:rFonts w:ascii="Times New Roman" w:hAnsi="Times New Roman" w:cs="Times New Roman"/>
          <w:sz w:val="28"/>
          <w:szCs w:val="28"/>
        </w:rPr>
        <w:t xml:space="preserve">йдеться про період «створення» банку та спеціалістів, які не мають ключового відношення до управління банком, здійснення інших важливих функцій. </w:t>
      </w:r>
      <w:r w:rsidR="00955C63" w:rsidRPr="00731BA7">
        <w:rPr>
          <w:rFonts w:ascii="Times New Roman" w:hAnsi="Times New Roman" w:cs="Times New Roman"/>
          <w:sz w:val="28"/>
          <w:szCs w:val="28"/>
        </w:rPr>
        <w:t xml:space="preserve">До того ж, у </w:t>
      </w:r>
      <w:r w:rsidR="00582BB1" w:rsidRPr="00731BA7">
        <w:rPr>
          <w:rFonts w:ascii="Times New Roman" w:hAnsi="Times New Roman" w:cs="Times New Roman"/>
          <w:sz w:val="28"/>
          <w:szCs w:val="28"/>
        </w:rPr>
        <w:t xml:space="preserve">п. 5 </w:t>
      </w:r>
      <w:r w:rsidR="00955C63" w:rsidRPr="00731BA7">
        <w:rPr>
          <w:rFonts w:ascii="Times New Roman" w:hAnsi="Times New Roman" w:cs="Times New Roman"/>
          <w:sz w:val="28"/>
          <w:szCs w:val="28"/>
        </w:rPr>
        <w:t>ч. 1 цієї ж статті</w:t>
      </w:r>
      <w:r w:rsidR="00E26BA6" w:rsidRPr="00731BA7">
        <w:rPr>
          <w:rFonts w:ascii="Times New Roman" w:hAnsi="Times New Roman" w:cs="Times New Roman"/>
          <w:sz w:val="28"/>
          <w:szCs w:val="28"/>
        </w:rPr>
        <w:t>, по суті,</w:t>
      </w:r>
      <w:r w:rsidR="00955C63" w:rsidRPr="00731BA7">
        <w:rPr>
          <w:rFonts w:ascii="Times New Roman" w:hAnsi="Times New Roman" w:cs="Times New Roman"/>
          <w:sz w:val="28"/>
          <w:szCs w:val="28"/>
        </w:rPr>
        <w:t xml:space="preserve"> вже </w:t>
      </w:r>
      <w:r w:rsidR="00582BB1" w:rsidRPr="00731BA7">
        <w:rPr>
          <w:rFonts w:ascii="Times New Roman" w:hAnsi="Times New Roman" w:cs="Times New Roman"/>
          <w:sz w:val="28"/>
          <w:szCs w:val="28"/>
        </w:rPr>
        <w:t xml:space="preserve">йдеться про </w:t>
      </w:r>
      <w:r w:rsidR="00E26BA6" w:rsidRPr="00731BA7">
        <w:rPr>
          <w:rFonts w:ascii="Times New Roman" w:hAnsi="Times New Roman" w:cs="Times New Roman"/>
          <w:sz w:val="28"/>
          <w:szCs w:val="28"/>
        </w:rPr>
        <w:t xml:space="preserve">наявність </w:t>
      </w:r>
      <w:r w:rsidR="00955C63" w:rsidRPr="00731BA7">
        <w:rPr>
          <w:rFonts w:ascii="Times New Roman" w:hAnsi="Times New Roman"/>
          <w:sz w:val="28"/>
          <w:szCs w:val="28"/>
        </w:rPr>
        <w:t>керівників юридичної особи, яка має намір здійснювати банківську діяльність, та/або її головн</w:t>
      </w:r>
      <w:r w:rsidR="00E26BA6" w:rsidRPr="00731BA7">
        <w:rPr>
          <w:rFonts w:ascii="Times New Roman" w:hAnsi="Times New Roman"/>
          <w:sz w:val="28"/>
          <w:szCs w:val="28"/>
        </w:rPr>
        <w:t>ого</w:t>
      </w:r>
      <w:r w:rsidR="00955C63" w:rsidRPr="00731BA7">
        <w:rPr>
          <w:rFonts w:ascii="Times New Roman" w:hAnsi="Times New Roman"/>
          <w:sz w:val="28"/>
          <w:szCs w:val="28"/>
        </w:rPr>
        <w:t xml:space="preserve"> ризик-менеджер</w:t>
      </w:r>
      <w:r w:rsidR="00E26BA6" w:rsidRPr="00731BA7">
        <w:rPr>
          <w:rFonts w:ascii="Times New Roman" w:hAnsi="Times New Roman"/>
          <w:sz w:val="28"/>
          <w:szCs w:val="28"/>
        </w:rPr>
        <w:t>а,</w:t>
      </w:r>
      <w:r w:rsidR="00955C63" w:rsidRPr="00731BA7">
        <w:rPr>
          <w:rFonts w:ascii="Times New Roman" w:hAnsi="Times New Roman"/>
          <w:sz w:val="28"/>
          <w:szCs w:val="28"/>
        </w:rPr>
        <w:t xml:space="preserve"> та/або її головн</w:t>
      </w:r>
      <w:r w:rsidR="00E26BA6" w:rsidRPr="00731BA7">
        <w:rPr>
          <w:rFonts w:ascii="Times New Roman" w:hAnsi="Times New Roman"/>
          <w:sz w:val="28"/>
          <w:szCs w:val="28"/>
        </w:rPr>
        <w:t>ого</w:t>
      </w:r>
      <w:r w:rsidR="00955C63" w:rsidRPr="00731BA7">
        <w:rPr>
          <w:rFonts w:ascii="Times New Roman" w:hAnsi="Times New Roman"/>
          <w:sz w:val="28"/>
          <w:szCs w:val="28"/>
        </w:rPr>
        <w:t xml:space="preserve"> комплаєнс-менеджер</w:t>
      </w:r>
      <w:r w:rsidR="00E26BA6" w:rsidRPr="00731BA7">
        <w:rPr>
          <w:rFonts w:ascii="Times New Roman" w:hAnsi="Times New Roman"/>
          <w:sz w:val="28"/>
          <w:szCs w:val="28"/>
        </w:rPr>
        <w:t>а</w:t>
      </w:r>
      <w:r w:rsidR="00955C63" w:rsidRPr="00731BA7">
        <w:rPr>
          <w:rFonts w:ascii="Times New Roman" w:hAnsi="Times New Roman"/>
          <w:sz w:val="28"/>
          <w:szCs w:val="28"/>
        </w:rPr>
        <w:t xml:space="preserve">, та/або </w:t>
      </w:r>
      <w:r w:rsidR="00955C63" w:rsidRPr="00731BA7">
        <w:rPr>
          <w:rFonts w:ascii="Times New Roman" w:hAnsi="Times New Roman"/>
          <w:sz w:val="28"/>
          <w:szCs w:val="28"/>
          <w:lang w:eastAsia="uk-UA"/>
        </w:rPr>
        <w:t>керівник</w:t>
      </w:r>
      <w:r w:rsidR="00E26BA6" w:rsidRPr="00731BA7">
        <w:rPr>
          <w:rFonts w:ascii="Times New Roman" w:hAnsi="Times New Roman"/>
          <w:sz w:val="28"/>
          <w:szCs w:val="28"/>
          <w:lang w:eastAsia="uk-UA"/>
        </w:rPr>
        <w:t>а</w:t>
      </w:r>
      <w:r w:rsidR="00955C63" w:rsidRPr="00731BA7">
        <w:rPr>
          <w:rFonts w:ascii="Times New Roman" w:hAnsi="Times New Roman"/>
          <w:sz w:val="28"/>
          <w:szCs w:val="28"/>
          <w:lang w:eastAsia="uk-UA"/>
        </w:rPr>
        <w:t xml:space="preserve"> її </w:t>
      </w:r>
      <w:r w:rsidR="00955C63" w:rsidRPr="00731BA7">
        <w:rPr>
          <w:rFonts w:ascii="Times New Roman" w:hAnsi="Times New Roman"/>
          <w:sz w:val="28"/>
          <w:szCs w:val="28"/>
        </w:rPr>
        <w:t>підрозділу внутрішнього аудиту</w:t>
      </w:r>
      <w:r w:rsidR="00E26BA6" w:rsidRPr="00731BA7">
        <w:rPr>
          <w:rFonts w:ascii="Times New Roman" w:hAnsi="Times New Roman"/>
          <w:sz w:val="28"/>
          <w:szCs w:val="28"/>
        </w:rPr>
        <w:t xml:space="preserve">, яка логічно випливає </w:t>
      </w:r>
      <w:r w:rsidR="000F016B" w:rsidRPr="00731BA7">
        <w:rPr>
          <w:rFonts w:ascii="Times New Roman" w:hAnsi="Times New Roman"/>
          <w:sz w:val="28"/>
          <w:szCs w:val="28"/>
        </w:rPr>
        <w:t>зі</w:t>
      </w:r>
      <w:r w:rsidR="00E26BA6">
        <w:rPr>
          <w:rFonts w:ascii="Times New Roman" w:hAnsi="Times New Roman"/>
          <w:sz w:val="28"/>
          <w:szCs w:val="28"/>
        </w:rPr>
        <w:t xml:space="preserve"> </w:t>
      </w:r>
      <w:r w:rsidR="00EE3AEE">
        <w:rPr>
          <w:rFonts w:ascii="Times New Roman" w:hAnsi="Times New Roman"/>
          <w:sz w:val="28"/>
          <w:szCs w:val="28"/>
        </w:rPr>
        <w:t xml:space="preserve">встановлення вимоги щодо </w:t>
      </w:r>
      <w:r w:rsidR="00E26BA6">
        <w:rPr>
          <w:rFonts w:ascii="Times New Roman" w:hAnsi="Times New Roman"/>
          <w:sz w:val="28"/>
          <w:szCs w:val="28"/>
        </w:rPr>
        <w:t xml:space="preserve">відповідності </w:t>
      </w:r>
      <w:r w:rsidR="00EE3AEE">
        <w:rPr>
          <w:rFonts w:ascii="Times New Roman" w:hAnsi="Times New Roman"/>
          <w:sz w:val="28"/>
          <w:szCs w:val="28"/>
        </w:rPr>
        <w:t xml:space="preserve">вказаних осіб </w:t>
      </w:r>
      <w:r w:rsidR="00955C63" w:rsidRPr="00955C63">
        <w:rPr>
          <w:rFonts w:ascii="Times New Roman" w:hAnsi="Times New Roman"/>
          <w:sz w:val="28"/>
          <w:szCs w:val="28"/>
        </w:rPr>
        <w:t>кваліфікаційним  вимогам</w:t>
      </w:r>
      <w:r w:rsidR="00E26BA6">
        <w:rPr>
          <w:rFonts w:ascii="Times New Roman" w:hAnsi="Times New Roman"/>
          <w:sz w:val="28"/>
          <w:szCs w:val="28"/>
        </w:rPr>
        <w:t>.</w:t>
      </w:r>
    </w:p>
    <w:p w14:paraId="4DD20A71" w14:textId="77777777" w:rsidR="005861D0" w:rsidRDefault="00EE3AEE" w:rsidP="00AD7825">
      <w:pPr>
        <w:spacing w:after="0" w:line="24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238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861D0" w:rsidRPr="002C086C">
        <w:rPr>
          <w:rFonts w:ascii="Times New Roman" w:hAnsi="Times New Roman"/>
          <w:sz w:val="28"/>
          <w:szCs w:val="28"/>
        </w:rPr>
        <w:t>З метою захисту інтересів національної безпеки і оборони України, в</w:t>
      </w:r>
      <w:r w:rsidR="005861D0">
        <w:rPr>
          <w:rFonts w:ascii="Times New Roman" w:hAnsi="Times New Roman"/>
          <w:sz w:val="28"/>
          <w:szCs w:val="28"/>
        </w:rPr>
        <w:t xml:space="preserve">бачається доцільним </w:t>
      </w:r>
      <w:r w:rsidR="005861D0" w:rsidRPr="002C086C">
        <w:rPr>
          <w:rFonts w:ascii="Times New Roman" w:hAnsi="Times New Roman"/>
          <w:sz w:val="28"/>
          <w:szCs w:val="28"/>
        </w:rPr>
        <w:t>доповнити у н</w:t>
      </w:r>
      <w:r w:rsidR="005861D0" w:rsidRPr="005861D0">
        <w:rPr>
          <w:rFonts w:ascii="Times New Roman" w:hAnsi="Times New Roman" w:cs="Times New Roman"/>
          <w:sz w:val="28"/>
          <w:szCs w:val="28"/>
        </w:rPr>
        <w:t>овій редакції ч. 8 ст. 24 Закону</w:t>
      </w:r>
      <w:r w:rsidR="005861D0">
        <w:rPr>
          <w:rFonts w:ascii="Times New Roman" w:hAnsi="Times New Roman" w:cs="Times New Roman"/>
          <w:sz w:val="28"/>
          <w:szCs w:val="28"/>
        </w:rPr>
        <w:t xml:space="preserve"> </w:t>
      </w:r>
      <w:r w:rsidR="005861D0" w:rsidRPr="005861D0">
        <w:rPr>
          <w:rFonts w:ascii="Times New Roman" w:hAnsi="Times New Roman" w:cs="Times New Roman"/>
          <w:sz w:val="28"/>
          <w:szCs w:val="28"/>
        </w:rPr>
        <w:t>перелік підстав</w:t>
      </w:r>
      <w:r w:rsidR="005861D0">
        <w:rPr>
          <w:rFonts w:ascii="Times New Roman" w:hAnsi="Times New Roman" w:cs="Times New Roman"/>
          <w:sz w:val="28"/>
          <w:szCs w:val="28"/>
        </w:rPr>
        <w:t>,</w:t>
      </w:r>
      <w:r w:rsidR="005861D0" w:rsidRPr="005861D0">
        <w:rPr>
          <w:rFonts w:ascii="Times New Roman" w:hAnsi="Times New Roman" w:cs="Times New Roman"/>
          <w:sz w:val="28"/>
          <w:szCs w:val="28"/>
        </w:rPr>
        <w:t xml:space="preserve"> за яких </w:t>
      </w:r>
      <w:bookmarkStart w:id="2" w:name="n433"/>
      <w:bookmarkEnd w:id="2"/>
      <w:r w:rsidR="005861D0" w:rsidRPr="005861D0">
        <w:rPr>
          <w:rStyle w:val="rvts0"/>
          <w:rFonts w:ascii="Times New Roman" w:hAnsi="Times New Roman" w:cs="Times New Roman"/>
          <w:sz w:val="28"/>
          <w:szCs w:val="28"/>
        </w:rPr>
        <w:t>Національний банк України має право відмовити в акредитації філії іноземного банку</w:t>
      </w:r>
      <w:r w:rsidR="005861D0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="00102466">
        <w:rPr>
          <w:rStyle w:val="rvts0"/>
          <w:rFonts w:ascii="Times New Roman" w:hAnsi="Times New Roman" w:cs="Times New Roman"/>
          <w:sz w:val="28"/>
          <w:szCs w:val="28"/>
        </w:rPr>
        <w:t xml:space="preserve"> такою</w:t>
      </w:r>
      <w:r w:rsidR="005861D0" w:rsidRPr="005861D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5861D0">
        <w:rPr>
          <w:rStyle w:val="rvts0"/>
          <w:rFonts w:ascii="Times New Roman" w:hAnsi="Times New Roman" w:cs="Times New Roman"/>
          <w:sz w:val="28"/>
          <w:szCs w:val="28"/>
        </w:rPr>
        <w:t xml:space="preserve">підставою, </w:t>
      </w:r>
      <w:r w:rsidR="00102466">
        <w:rPr>
          <w:rStyle w:val="rvts0"/>
          <w:rFonts w:ascii="Times New Roman" w:hAnsi="Times New Roman" w:cs="Times New Roman"/>
          <w:sz w:val="28"/>
          <w:szCs w:val="28"/>
        </w:rPr>
        <w:t xml:space="preserve">як створення такого банку </w:t>
      </w:r>
      <w:r w:rsidR="005861D0" w:rsidRPr="005861D0">
        <w:rPr>
          <w:rStyle w:val="rvts0"/>
          <w:rFonts w:ascii="Times New Roman" w:hAnsi="Times New Roman" w:cs="Times New Roman"/>
          <w:sz w:val="28"/>
          <w:szCs w:val="28"/>
        </w:rPr>
        <w:t>відповідно до законодавства держави, що здійснює збройну агресію проти України у значенні, наведеному у</w:t>
      </w:r>
      <w:r w:rsidR="005861D0">
        <w:rPr>
          <w:rStyle w:val="rvts0"/>
          <w:rFonts w:ascii="Times New Roman" w:hAnsi="Times New Roman" w:cs="Times New Roman"/>
          <w:sz w:val="28"/>
          <w:szCs w:val="28"/>
        </w:rPr>
        <w:t xml:space="preserve"> ст. 1 З</w:t>
      </w:r>
      <w:r w:rsidR="005861D0" w:rsidRPr="005861D0">
        <w:rPr>
          <w:rStyle w:val="rvts0"/>
          <w:rFonts w:ascii="Times New Roman" w:hAnsi="Times New Roman" w:cs="Times New Roman"/>
          <w:sz w:val="28"/>
          <w:szCs w:val="28"/>
        </w:rPr>
        <w:t xml:space="preserve">акону України «Про оборону України», та/або </w:t>
      </w:r>
      <w:r w:rsidR="00102466">
        <w:rPr>
          <w:rStyle w:val="rvts0"/>
          <w:rFonts w:ascii="Times New Roman" w:hAnsi="Times New Roman" w:cs="Times New Roman"/>
          <w:sz w:val="28"/>
          <w:szCs w:val="28"/>
        </w:rPr>
        <w:t xml:space="preserve">здійснення </w:t>
      </w:r>
      <w:r w:rsidR="005861D0" w:rsidRPr="005861D0">
        <w:rPr>
          <w:rStyle w:val="rvts0"/>
          <w:rFonts w:ascii="Times New Roman" w:hAnsi="Times New Roman" w:cs="Times New Roman"/>
          <w:sz w:val="28"/>
          <w:szCs w:val="28"/>
        </w:rPr>
        <w:t>прямо чи опосередковано контролю</w:t>
      </w:r>
      <w:r w:rsidR="00102466">
        <w:rPr>
          <w:rStyle w:val="rvts0"/>
          <w:rFonts w:ascii="Times New Roman" w:hAnsi="Times New Roman" w:cs="Times New Roman"/>
          <w:sz w:val="28"/>
          <w:szCs w:val="28"/>
        </w:rPr>
        <w:t xml:space="preserve"> над ним </w:t>
      </w:r>
      <w:r w:rsidR="005861D0" w:rsidRPr="005861D0">
        <w:rPr>
          <w:rStyle w:val="rvts0"/>
          <w:rFonts w:ascii="Times New Roman" w:hAnsi="Times New Roman" w:cs="Times New Roman"/>
          <w:sz w:val="28"/>
          <w:szCs w:val="28"/>
        </w:rPr>
        <w:t>особами, які є резидентами зазначеної держави.</w:t>
      </w:r>
      <w:r w:rsidR="005861D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</w:p>
    <w:p w14:paraId="0DE766B2" w14:textId="47A6E1F6" w:rsidR="002204D2" w:rsidRDefault="005861D0" w:rsidP="00AD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1D0">
        <w:rPr>
          <w:rFonts w:ascii="Times New Roman" w:hAnsi="Times New Roman" w:cs="Times New Roman"/>
          <w:sz w:val="28"/>
          <w:szCs w:val="28"/>
        </w:rPr>
        <w:t>Аналогічне за змістом зауваження стосується нової ст. 34</w:t>
      </w:r>
      <w:r w:rsidR="004679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D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у стосовно </w:t>
      </w:r>
      <w:r w:rsidRPr="005861D0">
        <w:rPr>
          <w:rFonts w:ascii="Times New Roman" w:hAnsi="Times New Roman" w:cs="Times New Roman"/>
          <w:sz w:val="28"/>
          <w:szCs w:val="28"/>
        </w:rPr>
        <w:t xml:space="preserve">підстав, за яких </w:t>
      </w:r>
      <w:r w:rsidRPr="005861D0">
        <w:rPr>
          <w:rStyle w:val="rvts0"/>
          <w:rFonts w:ascii="Times New Roman" w:hAnsi="Times New Roman" w:cs="Times New Roman"/>
          <w:sz w:val="28"/>
          <w:szCs w:val="28"/>
        </w:rPr>
        <w:t xml:space="preserve">Національний банк України матиме право </w:t>
      </w:r>
      <w:r w:rsidR="00666ADE" w:rsidRPr="00666ADE">
        <w:rPr>
          <w:rStyle w:val="rvts0"/>
          <w:rFonts w:ascii="Times New Roman" w:hAnsi="Times New Roman" w:cs="Times New Roman"/>
          <w:sz w:val="28"/>
          <w:szCs w:val="28"/>
        </w:rPr>
        <w:t xml:space="preserve">                   </w:t>
      </w:r>
      <w:r w:rsidRPr="005861D0">
        <w:rPr>
          <w:rStyle w:val="rvts0"/>
          <w:rFonts w:ascii="Times New Roman" w:hAnsi="Times New Roman" w:cs="Times New Roman"/>
          <w:sz w:val="28"/>
          <w:szCs w:val="28"/>
        </w:rPr>
        <w:t xml:space="preserve">відмовити у </w:t>
      </w:r>
      <w:r w:rsidRPr="005861D0">
        <w:rPr>
          <w:rFonts w:ascii="Times New Roman" w:hAnsi="Times New Roman" w:cs="Times New Roman"/>
          <w:sz w:val="28"/>
          <w:szCs w:val="28"/>
        </w:rPr>
        <w:t>набутті або збільшенні істотної участі іноземною юридичною особою та фізичною особою-іноземцем у вітчизняному банку, а також нової редакції</w:t>
      </w:r>
      <w:r w:rsidR="00836D1F" w:rsidRPr="00836D1F">
        <w:rPr>
          <w:rFonts w:ascii="Times New Roman" w:hAnsi="Times New Roman" w:cs="Times New Roman"/>
          <w:sz w:val="28"/>
          <w:szCs w:val="28"/>
        </w:rPr>
        <w:t xml:space="preserve"> </w:t>
      </w:r>
      <w:r w:rsidRPr="005861D0">
        <w:rPr>
          <w:rFonts w:ascii="Times New Roman" w:hAnsi="Times New Roman" w:cs="Times New Roman"/>
          <w:sz w:val="28"/>
          <w:szCs w:val="28"/>
        </w:rPr>
        <w:t>ст. 50 Закону</w:t>
      </w:r>
      <w:r>
        <w:rPr>
          <w:rFonts w:ascii="Times New Roman" w:hAnsi="Times New Roman" w:cs="Times New Roman"/>
          <w:sz w:val="28"/>
          <w:szCs w:val="28"/>
        </w:rPr>
        <w:t xml:space="preserve"> у частині </w:t>
      </w:r>
      <w:r w:rsidRPr="005861D0">
        <w:rPr>
          <w:rFonts w:ascii="Times New Roman" w:hAnsi="Times New Roman" w:cs="Times New Roman"/>
          <w:sz w:val="28"/>
          <w:szCs w:val="28"/>
        </w:rPr>
        <w:t xml:space="preserve">вимог до іноземної юридичної особи, акції (частки, паї) якої придбаватиме український банк. </w:t>
      </w:r>
    </w:p>
    <w:p w14:paraId="015B85BF" w14:textId="77777777" w:rsidR="00116D58" w:rsidRPr="00731BA7" w:rsidRDefault="009F596C" w:rsidP="00AD782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238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16D58" w:rsidRPr="007D2236">
        <w:rPr>
          <w:rFonts w:ascii="Times New Roman" w:hAnsi="Times New Roman"/>
          <w:sz w:val="28"/>
          <w:szCs w:val="28"/>
        </w:rPr>
        <w:t xml:space="preserve">У приписі п. 2 оновленої ч. 2 ст. 24 Закону, за яким «іноземний банк має право на відкриття філії в Україні за таких умов:  … </w:t>
      </w:r>
      <w:r w:rsidR="00116D58" w:rsidRPr="007D2236">
        <w:rPr>
          <w:rFonts w:ascii="Times New Roman" w:hAnsi="Times New Roman"/>
          <w:sz w:val="28"/>
        </w:rPr>
        <w:t>2) банківський нагляд у державі, в якій зареєстровано іноземний банк</w:t>
      </w:r>
      <w:r w:rsidR="00116D58" w:rsidRPr="007D2236">
        <w:rPr>
          <w:rFonts w:ascii="Times New Roman" w:hAnsi="Times New Roman"/>
          <w:color w:val="000000" w:themeColor="text1"/>
          <w:sz w:val="28"/>
        </w:rPr>
        <w:t xml:space="preserve">, з урахуванням отриманої Національним банком України інформації, </w:t>
      </w:r>
      <w:r w:rsidR="00116D58" w:rsidRPr="0012380E">
        <w:rPr>
          <w:rFonts w:ascii="Times New Roman" w:hAnsi="Times New Roman"/>
          <w:i/>
          <w:color w:val="000000" w:themeColor="text1"/>
          <w:sz w:val="28"/>
        </w:rPr>
        <w:t>в цілому відповідає</w:t>
      </w:r>
      <w:r w:rsidR="00116D58" w:rsidRPr="007D2236">
        <w:rPr>
          <w:rFonts w:ascii="Times New Roman" w:hAnsi="Times New Roman"/>
          <w:color w:val="000000" w:themeColor="text1"/>
          <w:sz w:val="28"/>
        </w:rPr>
        <w:t xml:space="preserve"> Основним принципам ефективного банківського нагляду Базельського комітету з питань </w:t>
      </w:r>
      <w:r w:rsidR="00116D58" w:rsidRPr="007D2236">
        <w:rPr>
          <w:rFonts w:ascii="Times New Roman" w:hAnsi="Times New Roman"/>
          <w:color w:val="000000" w:themeColor="text1"/>
          <w:sz w:val="28"/>
        </w:rPr>
        <w:lastRenderedPageBreak/>
        <w:t xml:space="preserve">банківського нагляду, у тому числі  </w:t>
      </w:r>
      <w:r w:rsidR="00116D58" w:rsidRPr="007D2236">
        <w:rPr>
          <w:rFonts w:ascii="Times New Roman" w:hAnsi="Times New Roman"/>
          <w:sz w:val="28"/>
        </w:rPr>
        <w:t xml:space="preserve">в частині забезпечення ефективного нагляду на консолідованій основі», досить складно встановити зміст </w:t>
      </w:r>
      <w:r w:rsidR="00116D58" w:rsidRPr="00731BA7">
        <w:rPr>
          <w:rFonts w:ascii="Times New Roman" w:hAnsi="Times New Roman"/>
          <w:sz w:val="28"/>
        </w:rPr>
        <w:t>формулювання «в цілому відповідає». Юридична невизначеність правової норми може призводити до складнощів у правозастосуванні з відповідними наслідками.</w:t>
      </w:r>
    </w:p>
    <w:p w14:paraId="2F26A403" w14:textId="384777E9" w:rsidR="007F1DF4" w:rsidRDefault="000F1C7E" w:rsidP="00AD7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A7">
        <w:rPr>
          <w:rFonts w:ascii="Times New Roman" w:hAnsi="Times New Roman"/>
          <w:sz w:val="28"/>
        </w:rPr>
        <w:t>1</w:t>
      </w:r>
      <w:r w:rsidR="00116D58" w:rsidRPr="00731BA7">
        <w:rPr>
          <w:rFonts w:ascii="Times New Roman" w:hAnsi="Times New Roman"/>
          <w:sz w:val="28"/>
        </w:rPr>
        <w:t>.</w:t>
      </w:r>
      <w:r w:rsidR="007F1DF4" w:rsidRPr="00731BA7">
        <w:rPr>
          <w:rFonts w:ascii="Times New Roman" w:hAnsi="Times New Roman"/>
          <w:sz w:val="28"/>
        </w:rPr>
        <w:t>1</w:t>
      </w:r>
      <w:r w:rsidR="00E12A10" w:rsidRPr="00731BA7">
        <w:rPr>
          <w:rFonts w:ascii="Times New Roman" w:hAnsi="Times New Roman"/>
          <w:sz w:val="28"/>
        </w:rPr>
        <w:t>6</w:t>
      </w:r>
      <w:r w:rsidR="00116D58" w:rsidRPr="00731BA7">
        <w:rPr>
          <w:rFonts w:ascii="Times New Roman" w:hAnsi="Times New Roman"/>
          <w:sz w:val="28"/>
        </w:rPr>
        <w:t xml:space="preserve">. </w:t>
      </w:r>
      <w:r w:rsidR="007F1DF4" w:rsidRPr="00731BA7">
        <w:rPr>
          <w:rFonts w:ascii="Times New Roman" w:hAnsi="Times New Roman"/>
          <w:sz w:val="28"/>
          <w:szCs w:val="28"/>
          <w:lang w:eastAsia="ru-RU"/>
        </w:rPr>
        <w:t>Ви</w:t>
      </w:r>
      <w:r w:rsidR="000F016B" w:rsidRPr="00731BA7">
        <w:rPr>
          <w:rFonts w:ascii="Times New Roman" w:hAnsi="Times New Roman"/>
          <w:sz w:val="28"/>
          <w:szCs w:val="28"/>
          <w:lang w:eastAsia="ru-RU"/>
        </w:rPr>
        <w:t>клика</w:t>
      </w:r>
      <w:r w:rsidR="007F1DF4" w:rsidRPr="00731BA7">
        <w:rPr>
          <w:rFonts w:ascii="Times New Roman" w:hAnsi="Times New Roman"/>
          <w:sz w:val="28"/>
          <w:szCs w:val="28"/>
          <w:lang w:eastAsia="ru-RU"/>
        </w:rPr>
        <w:t xml:space="preserve">є питання </w:t>
      </w:r>
      <w:r w:rsidR="00F823D7" w:rsidRPr="00731BA7">
        <w:rPr>
          <w:rFonts w:ascii="Times New Roman" w:hAnsi="Times New Roman"/>
          <w:sz w:val="28"/>
          <w:szCs w:val="28"/>
          <w:lang w:eastAsia="ru-RU"/>
        </w:rPr>
        <w:t xml:space="preserve">пропозиція щодо </w:t>
      </w:r>
      <w:r w:rsidR="007F1DF4" w:rsidRPr="00731BA7">
        <w:rPr>
          <w:rFonts w:ascii="Times New Roman" w:hAnsi="Times New Roman"/>
          <w:sz w:val="28"/>
          <w:szCs w:val="28"/>
          <w:lang w:eastAsia="ru-RU"/>
        </w:rPr>
        <w:t>виключ</w:t>
      </w:r>
      <w:r w:rsidR="00F823D7" w:rsidRPr="00731BA7">
        <w:rPr>
          <w:rFonts w:ascii="Times New Roman" w:hAnsi="Times New Roman"/>
          <w:sz w:val="28"/>
          <w:szCs w:val="28"/>
          <w:lang w:eastAsia="ru-RU"/>
        </w:rPr>
        <w:t xml:space="preserve">ення </w:t>
      </w:r>
      <w:r w:rsidR="00E12A10" w:rsidRPr="00731BA7">
        <w:rPr>
          <w:rFonts w:ascii="Times New Roman" w:hAnsi="Times New Roman"/>
          <w:sz w:val="28"/>
          <w:szCs w:val="28"/>
          <w:lang w:eastAsia="ru-RU"/>
        </w:rPr>
        <w:t>у</w:t>
      </w:r>
      <w:r w:rsidR="007F1DF4" w:rsidRPr="00731B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1DF4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 33 Закону положення</w:t>
      </w:r>
      <w:r w:rsidR="00F823D7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яким </w:t>
      </w:r>
      <w:r w:rsidR="007F1DF4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</w:t>
      </w:r>
      <w:r w:rsidR="00F823D7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яється</w:t>
      </w:r>
      <w:r w:rsidR="00F8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DF4"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банкам </w:t>
      </w:r>
      <w:r w:rsidR="00F8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здійснювати </w:t>
      </w:r>
      <w:r w:rsidR="007F1DF4"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випуск акцій на пред'явника, </w:t>
      </w:r>
      <w:r w:rsidR="007F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зокрема, </w:t>
      </w:r>
      <w:r w:rsidR="0056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контексті </w:t>
      </w:r>
      <w:r w:rsidR="007F1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r w:rsidR="006431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зниження </w:t>
      </w:r>
      <w:r w:rsidR="007F1DF4"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прозорості інформації щодо корпоративного управління.</w:t>
      </w:r>
    </w:p>
    <w:p w14:paraId="786EE6B2" w14:textId="77777777" w:rsidR="007277B2" w:rsidRDefault="009F4D97" w:rsidP="00AD7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12A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ч. 10 оновленої ст. 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«Національний банк України має право визначати наявність значного чи вирішального впливу на управління або діяльність юридичної особи, у тому числі банку, та визнавати особу власником істотної участі в банку </w:t>
      </w:r>
      <w:r w:rsidRPr="007D22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визначеному ним порядку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2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Ознаки наявності значного чи вирішального впливу на управління або діяльність юридичної особи, в тому числі банку, </w:t>
      </w:r>
      <w:r w:rsidRPr="007D22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визначаються нормативно</w:t>
      </w:r>
      <w:r w:rsidR="007277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Pr="007D22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правовими актами Національного банку України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наш погляд, зазначені ознаки  доцільно визначити у Законі</w:t>
      </w:r>
      <w:r w:rsidR="0072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1953DAD" w14:textId="4F0F43BC" w:rsidR="009F4D97" w:rsidRPr="007D2236" w:rsidRDefault="007277B2" w:rsidP="00AD7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аналогічного змісту видається актуальним і дл</w:t>
      </w:r>
      <w:r w:rsidR="009F4D97"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ч. 6 ст. 37 Закону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частині </w:t>
      </w:r>
      <w:r w:rsidR="009F4D97"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критеріїв оцінки колективної придатності ради </w:t>
      </w:r>
      <w:r w:rsidR="00BD6441" w:rsidRPr="00BD6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9F4D97"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правління банку та оцінки забезпечення ними ефективного управління та контролю за діяльністю банку.</w:t>
      </w:r>
    </w:p>
    <w:p w14:paraId="656BF395" w14:textId="77777777" w:rsidR="001A7129" w:rsidRDefault="001A7129" w:rsidP="00AD7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7C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74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 застереження припис ч. 2 нової ст. 34</w:t>
      </w:r>
      <w:r w:rsidRPr="007D22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Закону, згідно з яким  «у разі, якщо особа не звернулася до Національного банку України за погодженням фактичного набуття або збільшення істотної участі у випадках та у строки, визначені Національним банком України, або Національний банк України відмовив такій особі в погодженні набутої або збільшеної істотної участі в банку, Національний банк України </w:t>
      </w:r>
      <w:r w:rsidRPr="007D2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має право тимчасово заборонити такому власнику істотної участі використання права голосу та/або вимагати відчуження відповідних акцій (паїв) банку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адже згідно із ч. 1 цієї ж статті «</w:t>
      </w:r>
      <w:r w:rsidR="009F05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равочин, унаслідок вчинення якого особа набула або збільшила істотну участь у банку </w:t>
      </w:r>
      <w:r w:rsidRPr="007D2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погодження Національного банку України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числі всупереч забороні Національного банку України, за винятком випадків, у яких допускається наступне погодження фактично набутої або збільшеної істотної участі згідно з частиною другою статті 34 Закону, </w:t>
      </w:r>
      <w:r w:rsidR="009F05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 нікчемним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96C7DE2" w14:textId="77777777" w:rsidR="000B7C8D" w:rsidRPr="00731BA7" w:rsidRDefault="009F0530" w:rsidP="00AD78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746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C8D" w:rsidRPr="007D2236">
        <w:rPr>
          <w:rFonts w:ascii="Times New Roman" w:hAnsi="Times New Roman"/>
          <w:sz w:val="28"/>
        </w:rPr>
        <w:t>Згідно з ч. 17 оновленої ст. 39 Закону «</w:t>
      </w:r>
      <w:r w:rsidR="000B7C8D" w:rsidRPr="007D2236">
        <w:rPr>
          <w:rFonts w:ascii="Times New Roman" w:hAnsi="Times New Roman"/>
          <w:sz w:val="28"/>
          <w:szCs w:val="28"/>
          <w:lang w:eastAsia="ru-RU"/>
        </w:rPr>
        <w:t xml:space="preserve">Національний банк України має право вимагати позачергового скликання засідання ради банку». У даному випаду вбачається доцільним визначити підстави, за яких </w:t>
      </w:r>
      <w:r w:rsidR="000B7C8D" w:rsidRPr="00731BA7">
        <w:rPr>
          <w:rFonts w:ascii="Times New Roman" w:hAnsi="Times New Roman"/>
          <w:sz w:val="28"/>
          <w:szCs w:val="28"/>
          <w:lang w:eastAsia="ru-RU"/>
        </w:rPr>
        <w:t>Національний банк України може реалізувати таке право.</w:t>
      </w:r>
    </w:p>
    <w:p w14:paraId="52263060" w14:textId="28CFFAFD" w:rsidR="00116D58" w:rsidRPr="00731BA7" w:rsidRDefault="000B7C8D" w:rsidP="00AD78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0F016B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58" w:rsidRPr="007D2236">
        <w:rPr>
          <w:rFonts w:ascii="Times New Roman" w:hAnsi="Times New Roman"/>
          <w:sz w:val="28"/>
          <w:szCs w:val="28"/>
          <w:lang w:eastAsia="ru-RU"/>
        </w:rPr>
        <w:t>Зі змісту припису з ч. 18 оновленої ст. 39 Закону, за якою «б</w:t>
      </w:r>
      <w:r w:rsidR="00116D58" w:rsidRPr="007D2236">
        <w:rPr>
          <w:rFonts w:ascii="Times New Roman" w:hAnsi="Times New Roman"/>
          <w:sz w:val="28"/>
          <w:szCs w:val="28"/>
        </w:rPr>
        <w:t>анк зобов'язаний щороку, не пізніше 30 квітня, та на вимогу Національного банку України надавати Національному банку України в межах його повноважень щодо здійснення банківського нагляду інформацію про питання, що розглядалися на засіданні ради банку, у тому числі щодо стану реалізації стратегії,  бізнес</w:t>
      </w:r>
      <w:r w:rsidR="00597463">
        <w:rPr>
          <w:rFonts w:ascii="Times New Roman" w:hAnsi="Times New Roman"/>
          <w:sz w:val="28"/>
          <w:szCs w:val="28"/>
        </w:rPr>
        <w:t>-</w:t>
      </w:r>
      <w:r w:rsidR="00116D58" w:rsidRPr="007D2236">
        <w:rPr>
          <w:rFonts w:ascii="Times New Roman" w:hAnsi="Times New Roman"/>
          <w:sz w:val="28"/>
          <w:szCs w:val="28"/>
        </w:rPr>
        <w:t xml:space="preserve">плану, планів підтримання достатності капіталу та достатності ліквідності, </w:t>
      </w:r>
      <w:r w:rsidR="00116D58" w:rsidRPr="007D2236">
        <w:rPr>
          <w:rFonts w:ascii="Times New Roman" w:hAnsi="Times New Roman"/>
          <w:sz w:val="28"/>
          <w:szCs w:val="28"/>
          <w:lang w:eastAsia="uk-UA"/>
        </w:rPr>
        <w:t xml:space="preserve">стратегії та оперативного плану управління </w:t>
      </w:r>
      <w:r w:rsidR="00116D58" w:rsidRPr="007D2236">
        <w:rPr>
          <w:rFonts w:ascii="Times New Roman" w:hAnsi="Times New Roman"/>
          <w:sz w:val="28"/>
          <w:szCs w:val="28"/>
          <w:lang w:eastAsia="uk-UA"/>
        </w:rPr>
        <w:lastRenderedPageBreak/>
        <w:t>проблемними активами банку</w:t>
      </w:r>
      <w:r w:rsidR="00116D58" w:rsidRPr="007D2236">
        <w:rPr>
          <w:rFonts w:ascii="Times New Roman" w:hAnsi="Times New Roman"/>
          <w:sz w:val="28"/>
          <w:szCs w:val="28"/>
        </w:rPr>
        <w:t xml:space="preserve"> та прийняті щодо них рішення, а також перелік членів </w:t>
      </w:r>
      <w:r w:rsidR="00116D58" w:rsidRPr="00731BA7">
        <w:rPr>
          <w:rFonts w:ascii="Times New Roman" w:hAnsi="Times New Roman"/>
          <w:sz w:val="28"/>
          <w:szCs w:val="28"/>
        </w:rPr>
        <w:t>ради банку, присутніх на засіданні», не зовсім зрозуміло, щодо якого засідання ради банку має подаватися інформація не пізніше 30 квітня.</w:t>
      </w:r>
    </w:p>
    <w:p w14:paraId="1E1AB4A9" w14:textId="522F8FA4" w:rsidR="00116D58" w:rsidRPr="00731BA7" w:rsidRDefault="000F1C7E" w:rsidP="00AD78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BA7">
        <w:rPr>
          <w:rFonts w:ascii="Times New Roman" w:hAnsi="Times New Roman"/>
          <w:sz w:val="28"/>
          <w:szCs w:val="28"/>
        </w:rPr>
        <w:t>1</w:t>
      </w:r>
      <w:r w:rsidR="00116D58" w:rsidRPr="00731BA7">
        <w:rPr>
          <w:rFonts w:ascii="Times New Roman" w:hAnsi="Times New Roman"/>
          <w:sz w:val="28"/>
          <w:szCs w:val="28"/>
        </w:rPr>
        <w:t>.</w:t>
      </w:r>
      <w:r w:rsidR="00AD429A" w:rsidRPr="00731BA7">
        <w:rPr>
          <w:rFonts w:ascii="Times New Roman" w:hAnsi="Times New Roman"/>
          <w:sz w:val="28"/>
          <w:szCs w:val="28"/>
        </w:rPr>
        <w:t>2</w:t>
      </w:r>
      <w:r w:rsidR="000F016B" w:rsidRPr="00731BA7">
        <w:rPr>
          <w:rFonts w:ascii="Times New Roman" w:hAnsi="Times New Roman"/>
          <w:sz w:val="28"/>
          <w:szCs w:val="28"/>
        </w:rPr>
        <w:t>1</w:t>
      </w:r>
      <w:r w:rsidR="00116D58" w:rsidRPr="00731BA7">
        <w:rPr>
          <w:rFonts w:ascii="Times New Roman" w:hAnsi="Times New Roman"/>
          <w:sz w:val="28"/>
          <w:szCs w:val="28"/>
        </w:rPr>
        <w:t>. Припис оновленої ст. 40 Закону, за яким «п</w:t>
      </w:r>
      <w:r w:rsidR="00116D58" w:rsidRPr="00731BA7">
        <w:rPr>
          <w:rFonts w:ascii="Times New Roman" w:hAnsi="Times New Roman"/>
          <w:bCs/>
          <w:sz w:val="28"/>
          <w:szCs w:val="28"/>
          <w:lang w:eastAsia="ru-RU"/>
        </w:rPr>
        <w:t xml:space="preserve">равління банку зобов'язане інформувати раду банку про </w:t>
      </w:r>
      <w:r w:rsidR="00116D58" w:rsidRPr="00731BA7">
        <w:rPr>
          <w:rFonts w:ascii="Times New Roman" w:hAnsi="Times New Roman"/>
          <w:sz w:val="28"/>
          <w:szCs w:val="28"/>
        </w:rPr>
        <w:t>виявлені в діяльності банку порушення законодавства, внутрішніх положень банку та про рівень ризиків, що виникають під час діяльності банку</w:t>
      </w:r>
      <w:r w:rsidR="00116D58" w:rsidRPr="00731BA7">
        <w:rPr>
          <w:rFonts w:ascii="Times New Roman" w:hAnsi="Times New Roman"/>
          <w:bCs/>
          <w:sz w:val="28"/>
          <w:szCs w:val="28"/>
          <w:lang w:eastAsia="ru-RU"/>
        </w:rPr>
        <w:t xml:space="preserve">, несвоєчасне або неналежне </w:t>
      </w:r>
      <w:r w:rsidR="00C93989" w:rsidRPr="00C93989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</w:t>
      </w:r>
      <w:r w:rsidR="00116D58" w:rsidRPr="00731BA7">
        <w:rPr>
          <w:rFonts w:ascii="Times New Roman" w:hAnsi="Times New Roman"/>
          <w:bCs/>
          <w:sz w:val="28"/>
          <w:szCs w:val="28"/>
          <w:lang w:eastAsia="ru-RU"/>
        </w:rPr>
        <w:t>виконання пов’язаними з банком особами зобов’язань перед банком», за своїм змістом належить до предмету ст. 46 «Обов’язки щодо інформування Національного банку України» Закону.</w:t>
      </w:r>
    </w:p>
    <w:p w14:paraId="01916C73" w14:textId="21C5DFCC" w:rsidR="00116D58" w:rsidRPr="007D2236" w:rsidRDefault="000F1C7E" w:rsidP="00AD78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BA7">
        <w:rPr>
          <w:rFonts w:ascii="Times New Roman" w:hAnsi="Times New Roman"/>
          <w:sz w:val="28"/>
          <w:szCs w:val="28"/>
        </w:rPr>
        <w:t>1</w:t>
      </w:r>
      <w:r w:rsidR="00116D58" w:rsidRPr="00731BA7">
        <w:rPr>
          <w:rFonts w:ascii="Times New Roman" w:hAnsi="Times New Roman"/>
          <w:sz w:val="28"/>
          <w:szCs w:val="28"/>
        </w:rPr>
        <w:t>.</w:t>
      </w:r>
      <w:r w:rsidR="00AD429A" w:rsidRPr="00731BA7">
        <w:rPr>
          <w:rFonts w:ascii="Times New Roman" w:hAnsi="Times New Roman"/>
          <w:sz w:val="28"/>
          <w:szCs w:val="28"/>
        </w:rPr>
        <w:t>2</w:t>
      </w:r>
      <w:r w:rsidR="000F016B" w:rsidRPr="00731BA7">
        <w:rPr>
          <w:rFonts w:ascii="Times New Roman" w:hAnsi="Times New Roman"/>
          <w:sz w:val="28"/>
          <w:szCs w:val="28"/>
        </w:rPr>
        <w:t>2</w:t>
      </w:r>
      <w:r w:rsidR="00116D58" w:rsidRPr="00731BA7">
        <w:rPr>
          <w:rFonts w:ascii="Times New Roman" w:hAnsi="Times New Roman"/>
          <w:sz w:val="28"/>
          <w:szCs w:val="28"/>
        </w:rPr>
        <w:t>. Частина 7 оновленої ст. 44</w:t>
      </w:r>
      <w:r w:rsidR="005313F0" w:rsidRPr="00731BA7">
        <w:rPr>
          <w:rFonts w:ascii="Times New Roman" w:hAnsi="Times New Roman"/>
          <w:sz w:val="28"/>
          <w:szCs w:val="28"/>
        </w:rPr>
        <w:t xml:space="preserve"> Закону</w:t>
      </w:r>
      <w:r w:rsidR="00116D58" w:rsidRPr="00731BA7">
        <w:rPr>
          <w:rFonts w:ascii="Times New Roman" w:hAnsi="Times New Roman"/>
          <w:sz w:val="28"/>
          <w:szCs w:val="28"/>
        </w:rPr>
        <w:t>, згідно з якою «банк утворює постійно діючі підрозділ з управління ризиками та підрозділ контролю за дотриманням норм (комплаєнс) …», дублює абз. 3 ч. 3 цієї ж статті, за яким «внутрішній контроль банку</w:t>
      </w:r>
      <w:r w:rsidR="00116D58" w:rsidRPr="007D2236">
        <w:rPr>
          <w:rFonts w:ascii="Times New Roman" w:hAnsi="Times New Roman"/>
          <w:sz w:val="28"/>
          <w:szCs w:val="28"/>
        </w:rPr>
        <w:t xml:space="preserve"> здійснюється його підрозділами на трьох рівнях: … підрозділ з управління ризиками та підрозділ контролю за дотриманням норм (комплаєнс) – другий рівень».</w:t>
      </w:r>
    </w:p>
    <w:p w14:paraId="42FA1BF8" w14:textId="77777777" w:rsidR="00116D58" w:rsidRPr="007D2236" w:rsidRDefault="00116D58" w:rsidP="00AD78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236">
        <w:rPr>
          <w:rFonts w:ascii="Times New Roman" w:hAnsi="Times New Roman"/>
          <w:sz w:val="28"/>
          <w:szCs w:val="28"/>
        </w:rPr>
        <w:t>Таке ж зауваження стосується й ч. 1 оновленої ст. 45 Закону, за якою «б</w:t>
      </w:r>
      <w:r w:rsidRPr="007D2236">
        <w:rPr>
          <w:rFonts w:ascii="Times New Roman" w:hAnsi="Times New Roman"/>
          <w:bCs/>
          <w:sz w:val="28"/>
          <w:szCs w:val="28"/>
          <w:lang w:eastAsia="ru-RU"/>
        </w:rPr>
        <w:t>анк утворює постійно діючий підрозділ внутрішнього аудиту», зважаючи на те, що згідно з а</w:t>
      </w:r>
      <w:r w:rsidRPr="007D2236">
        <w:rPr>
          <w:rFonts w:ascii="Times New Roman" w:hAnsi="Times New Roman"/>
          <w:sz w:val="28"/>
          <w:szCs w:val="28"/>
        </w:rPr>
        <w:t>бз. 4 ч. 3 ст. 44 Закону «внутрішній контроль банку здійснюється його підрозділами на трьох рівнях: … підрозділ внутрішнього аудиту – третій рівень».</w:t>
      </w:r>
    </w:p>
    <w:p w14:paraId="100FC8AC" w14:textId="77777777" w:rsidR="00116D58" w:rsidRPr="007D2236" w:rsidRDefault="00116D58" w:rsidP="00AD78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236">
        <w:rPr>
          <w:rFonts w:ascii="Times New Roman" w:hAnsi="Times New Roman"/>
          <w:sz w:val="28"/>
          <w:szCs w:val="28"/>
        </w:rPr>
        <w:t>З метою уникнення вказаних дублювань, зазначені приписи ч. 7 оновленої ст. 44 та ч. 1 оновленої ст. 45 Закону доцільно виключити, одночасно відзначивши у ч. 3 оновленої ст. 44 Закону, що створювані підрозділи є постійно діючими.</w:t>
      </w:r>
    </w:p>
    <w:p w14:paraId="489229AD" w14:textId="0B08AA8E" w:rsidR="003463F0" w:rsidRPr="00731BA7" w:rsidRDefault="000F1C7E" w:rsidP="00AD78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1BA7">
        <w:rPr>
          <w:rFonts w:ascii="Times New Roman" w:hAnsi="Times New Roman"/>
          <w:sz w:val="28"/>
          <w:szCs w:val="28"/>
        </w:rPr>
        <w:t>1</w:t>
      </w:r>
      <w:r w:rsidR="00116D58" w:rsidRPr="00731BA7">
        <w:rPr>
          <w:rFonts w:ascii="Times New Roman" w:hAnsi="Times New Roman"/>
          <w:sz w:val="28"/>
          <w:szCs w:val="28"/>
        </w:rPr>
        <w:t>.</w:t>
      </w:r>
      <w:r w:rsidR="00AD429A" w:rsidRPr="00731BA7">
        <w:rPr>
          <w:rFonts w:ascii="Times New Roman" w:hAnsi="Times New Roman"/>
          <w:sz w:val="28"/>
          <w:szCs w:val="28"/>
        </w:rPr>
        <w:t>2</w:t>
      </w:r>
      <w:r w:rsidR="000F016B" w:rsidRPr="00731BA7">
        <w:rPr>
          <w:rFonts w:ascii="Times New Roman" w:hAnsi="Times New Roman"/>
          <w:sz w:val="28"/>
          <w:szCs w:val="28"/>
        </w:rPr>
        <w:t>3</w:t>
      </w:r>
      <w:r w:rsidR="00116D58" w:rsidRPr="00731BA7">
        <w:rPr>
          <w:rFonts w:ascii="Times New Roman" w:hAnsi="Times New Roman"/>
          <w:sz w:val="28"/>
          <w:szCs w:val="28"/>
        </w:rPr>
        <w:t>.</w:t>
      </w:r>
      <w:r w:rsidRPr="00731BA7">
        <w:rPr>
          <w:rFonts w:ascii="Times New Roman" w:hAnsi="Times New Roman"/>
          <w:sz w:val="28"/>
          <w:szCs w:val="28"/>
        </w:rPr>
        <w:t xml:space="preserve"> </w:t>
      </w:r>
      <w:r w:rsidR="003463F0" w:rsidRPr="00731BA7">
        <w:rPr>
          <w:rFonts w:ascii="Times New Roman" w:hAnsi="Times New Roman"/>
          <w:sz w:val="28"/>
          <w:szCs w:val="28"/>
        </w:rPr>
        <w:t>Виглядають дискусійними приписи проекту щодо надання права Національному банку України визначати переліки «</w:t>
      </w:r>
      <w:r w:rsidR="003463F0" w:rsidRPr="00731BA7">
        <w:rPr>
          <w:rFonts w:ascii="Times New Roman" w:eastAsia="MS Mincho" w:hAnsi="Times New Roman"/>
          <w:i/>
          <w:sz w:val="28"/>
          <w:szCs w:val="28"/>
        </w:rPr>
        <w:t>іншої інформації</w:t>
      </w:r>
      <w:r w:rsidR="003463F0" w:rsidRPr="00731BA7">
        <w:rPr>
          <w:rFonts w:ascii="Times New Roman" w:eastAsia="MS Mincho" w:hAnsi="Times New Roman"/>
          <w:sz w:val="28"/>
          <w:szCs w:val="28"/>
        </w:rPr>
        <w:t xml:space="preserve">, що є важливою для цілей </w:t>
      </w:r>
      <w:r w:rsidR="003463F0" w:rsidRPr="00731BA7">
        <w:rPr>
          <w:rFonts w:ascii="Times New Roman" w:hAnsi="Times New Roman"/>
          <w:sz w:val="28"/>
          <w:szCs w:val="28"/>
          <w:lang w:eastAsia="uk-UA"/>
        </w:rPr>
        <w:t xml:space="preserve">банківського нагляду, валютного нагляду, </w:t>
      </w:r>
      <w:r w:rsidR="003463F0" w:rsidRPr="00731BA7">
        <w:rPr>
          <w:rFonts w:ascii="Times New Roman" w:hAnsi="Times New Roman"/>
          <w:sz w:val="28"/>
          <w:szCs w:val="28"/>
          <w:lang w:eastAsia="ru-RU"/>
        </w:rPr>
        <w:t>нагляду (оверсайта) платіжних систем та систем розрахунків</w:t>
      </w:r>
      <w:r w:rsidR="003463F0" w:rsidRPr="00731BA7">
        <w:rPr>
          <w:rFonts w:ascii="Times New Roman" w:hAnsi="Times New Roman"/>
          <w:sz w:val="28"/>
          <w:szCs w:val="28"/>
        </w:rPr>
        <w:t xml:space="preserve">, а також перевірки </w:t>
      </w:r>
      <w:r w:rsidR="008524AC" w:rsidRPr="008524AC">
        <w:rPr>
          <w:rFonts w:ascii="Times New Roman" w:hAnsi="Times New Roman"/>
          <w:sz w:val="28"/>
          <w:szCs w:val="28"/>
        </w:rPr>
        <w:t xml:space="preserve">                 </w:t>
      </w:r>
      <w:r w:rsidR="003463F0" w:rsidRPr="00731BA7">
        <w:rPr>
          <w:rFonts w:ascii="Times New Roman" w:hAnsi="Times New Roman"/>
          <w:sz w:val="28"/>
          <w:szCs w:val="28"/>
        </w:rPr>
        <w:t xml:space="preserve">банків з питань дотримання вимог законодавства, яке регулює відносини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</w:t>
      </w:r>
      <w:r w:rsidR="003463F0" w:rsidRPr="00731BA7">
        <w:rPr>
          <w:rFonts w:ascii="Times New Roman" w:eastAsia="MS Mincho" w:hAnsi="Times New Roman"/>
          <w:sz w:val="28"/>
          <w:szCs w:val="28"/>
        </w:rPr>
        <w:t>про яку банк та власник істотної участі зобов'язані інформувати Національний банк України» (зміни до ст. 46 Закону), «</w:t>
      </w:r>
      <w:r w:rsidR="00220153" w:rsidRPr="00731BA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інших показників та іншої інформації </w:t>
      </w:r>
      <w:r w:rsidR="00220153" w:rsidRPr="00731BA7">
        <w:rPr>
          <w:rFonts w:ascii="Times New Roman" w:hAnsi="Times New Roman"/>
          <w:bCs/>
          <w:sz w:val="28"/>
          <w:szCs w:val="28"/>
          <w:lang w:eastAsia="ru-RU"/>
        </w:rPr>
        <w:t>щодо діяльності банку, які підлягають оприлюдненню</w:t>
      </w:r>
      <w:r w:rsidR="003463F0" w:rsidRPr="00731BA7">
        <w:rPr>
          <w:rFonts w:ascii="Times New Roman" w:hAnsi="Times New Roman"/>
          <w:bCs/>
          <w:sz w:val="28"/>
          <w:szCs w:val="28"/>
          <w:lang w:eastAsia="ru-RU"/>
        </w:rPr>
        <w:t>» (зміни до ст. 69 Закону)</w:t>
      </w:r>
      <w:r w:rsidR="0038145A" w:rsidRPr="00731BA7">
        <w:rPr>
          <w:rFonts w:ascii="Times New Roman" w:hAnsi="Times New Roman"/>
          <w:bCs/>
          <w:sz w:val="28"/>
          <w:szCs w:val="28"/>
          <w:lang w:eastAsia="ru-RU"/>
        </w:rPr>
        <w:t xml:space="preserve"> без конкретизації змісту таких інформації та показників</w:t>
      </w:r>
      <w:r w:rsidR="003463F0" w:rsidRPr="00731BA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A6B37" w:rsidRPr="00731BA7">
        <w:rPr>
          <w:rFonts w:ascii="Times New Roman" w:hAnsi="Times New Roman"/>
          <w:bCs/>
          <w:sz w:val="28"/>
          <w:szCs w:val="28"/>
          <w:lang w:eastAsia="ru-RU"/>
        </w:rPr>
        <w:t xml:space="preserve"> Принаймні, така пропозиція потребує додаткового обґрунтування.</w:t>
      </w:r>
    </w:p>
    <w:p w14:paraId="2A55BEB8" w14:textId="340214C2" w:rsidR="00116D58" w:rsidRPr="00731BA7" w:rsidRDefault="000F1C7E" w:rsidP="00AD78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BA7">
        <w:rPr>
          <w:rFonts w:ascii="Times New Roman" w:hAnsi="Times New Roman"/>
          <w:sz w:val="28"/>
          <w:szCs w:val="28"/>
        </w:rPr>
        <w:t>1</w:t>
      </w:r>
      <w:r w:rsidR="00116D58" w:rsidRPr="00731BA7">
        <w:rPr>
          <w:rFonts w:ascii="Times New Roman" w:hAnsi="Times New Roman"/>
          <w:sz w:val="28"/>
          <w:szCs w:val="28"/>
        </w:rPr>
        <w:t>.</w:t>
      </w:r>
      <w:r w:rsidR="00AD429A" w:rsidRPr="00731BA7">
        <w:rPr>
          <w:rFonts w:ascii="Times New Roman" w:hAnsi="Times New Roman"/>
          <w:sz w:val="28"/>
          <w:szCs w:val="28"/>
        </w:rPr>
        <w:t>2</w:t>
      </w:r>
      <w:r w:rsidR="003B5111" w:rsidRPr="00731BA7">
        <w:rPr>
          <w:rFonts w:ascii="Times New Roman" w:hAnsi="Times New Roman"/>
          <w:sz w:val="28"/>
          <w:szCs w:val="28"/>
        </w:rPr>
        <w:t>4</w:t>
      </w:r>
      <w:r w:rsidR="00116D58" w:rsidRPr="00731BA7">
        <w:rPr>
          <w:rFonts w:ascii="Times New Roman" w:hAnsi="Times New Roman"/>
          <w:sz w:val="28"/>
          <w:szCs w:val="28"/>
        </w:rPr>
        <w:t>. Зі змісту</w:t>
      </w:r>
      <w:r w:rsidR="00116D58" w:rsidRPr="007D2236">
        <w:rPr>
          <w:rFonts w:ascii="Times New Roman" w:hAnsi="Times New Roman"/>
          <w:sz w:val="28"/>
          <w:szCs w:val="28"/>
        </w:rPr>
        <w:t xml:space="preserve"> ч. 3 оновленої ст. 50 Закону, згідно з якою «банк зобов’язаний відчужити акції (частки, паї), набуті відповідно </w:t>
      </w:r>
      <w:r w:rsidR="008524AC" w:rsidRPr="008524A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16D58" w:rsidRPr="007D2236">
        <w:rPr>
          <w:rFonts w:ascii="Times New Roman" w:hAnsi="Times New Roman"/>
          <w:sz w:val="28"/>
          <w:szCs w:val="28"/>
        </w:rPr>
        <w:t xml:space="preserve">до частини другої цієї статті, протягом року з моменту набуття права власності на них або звернутись до закінчення цього строку до Національного банку України за отриманням письмового дозволу», незрозуміло, про дозвіл чого саме (подовження строку відчуження </w:t>
      </w:r>
      <w:r w:rsidR="00116D58" w:rsidRPr="00731BA7">
        <w:rPr>
          <w:rFonts w:ascii="Times New Roman" w:hAnsi="Times New Roman"/>
          <w:sz w:val="28"/>
          <w:szCs w:val="28"/>
        </w:rPr>
        <w:t>акцій (часток, паїв), залишення їх у власності тощо) йде мова.</w:t>
      </w:r>
    </w:p>
    <w:p w14:paraId="36826FC3" w14:textId="7FA36E1C" w:rsidR="00116D58" w:rsidRPr="00731BA7" w:rsidRDefault="000F1C7E" w:rsidP="00AD7825">
      <w:pPr>
        <w:spacing w:after="0" w:line="24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731BA7">
        <w:rPr>
          <w:rFonts w:ascii="Times New Roman" w:hAnsi="Times New Roman"/>
          <w:sz w:val="28"/>
          <w:szCs w:val="28"/>
        </w:rPr>
        <w:lastRenderedPageBreak/>
        <w:t>1</w:t>
      </w:r>
      <w:r w:rsidR="00116D58" w:rsidRPr="00731BA7">
        <w:rPr>
          <w:rFonts w:ascii="Times New Roman" w:hAnsi="Times New Roman"/>
          <w:sz w:val="28"/>
          <w:szCs w:val="28"/>
        </w:rPr>
        <w:t>.</w:t>
      </w:r>
      <w:r w:rsidR="00AD429A" w:rsidRPr="00731BA7">
        <w:rPr>
          <w:rFonts w:ascii="Times New Roman" w:hAnsi="Times New Roman"/>
          <w:sz w:val="28"/>
          <w:szCs w:val="28"/>
        </w:rPr>
        <w:t>2</w:t>
      </w:r>
      <w:r w:rsidR="003B5111" w:rsidRPr="00731BA7">
        <w:rPr>
          <w:rFonts w:ascii="Times New Roman" w:hAnsi="Times New Roman"/>
          <w:sz w:val="28"/>
          <w:szCs w:val="28"/>
        </w:rPr>
        <w:t>5</w:t>
      </w:r>
      <w:r w:rsidR="00116D58" w:rsidRPr="00731BA7">
        <w:rPr>
          <w:rFonts w:ascii="Times New Roman" w:hAnsi="Times New Roman"/>
          <w:sz w:val="28"/>
          <w:szCs w:val="28"/>
        </w:rPr>
        <w:t xml:space="preserve">. У проекті пропонується виключити </w:t>
      </w:r>
      <w:r w:rsidR="00597463" w:rsidRPr="00731BA7">
        <w:rPr>
          <w:rFonts w:ascii="Times New Roman" w:hAnsi="Times New Roman"/>
          <w:sz w:val="28"/>
          <w:szCs w:val="28"/>
        </w:rPr>
        <w:t>у</w:t>
      </w:r>
      <w:r w:rsidR="00116D58" w:rsidRPr="00731BA7">
        <w:rPr>
          <w:rFonts w:ascii="Times New Roman" w:hAnsi="Times New Roman"/>
          <w:sz w:val="28"/>
          <w:szCs w:val="28"/>
        </w:rPr>
        <w:t xml:space="preserve"> ст. 53 Закону норму, за якою «б</w:t>
      </w:r>
      <w:r w:rsidR="00116D58" w:rsidRPr="00731BA7">
        <w:rPr>
          <w:rStyle w:val="rvts0"/>
          <w:rFonts w:ascii="Times New Roman" w:hAnsi="Times New Roman" w:cs="Times New Roman"/>
          <w:sz w:val="28"/>
          <w:szCs w:val="28"/>
        </w:rPr>
        <w:t>анку забороняється встановлювати процентні ставки та комісійні винагороди на рівні нижче собівартості банківських послуг у цьому банку».</w:t>
      </w:r>
      <w:r w:rsidR="00AA4A64" w:rsidRPr="00731BA7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116D58" w:rsidRPr="00731BA7">
        <w:rPr>
          <w:rStyle w:val="rvts0"/>
          <w:rFonts w:ascii="Times New Roman" w:hAnsi="Times New Roman" w:cs="Times New Roman"/>
          <w:sz w:val="28"/>
          <w:szCs w:val="28"/>
        </w:rPr>
        <w:t>Така пропозиція є дискусійн</w:t>
      </w:r>
      <w:r w:rsidR="003463F0" w:rsidRPr="00731BA7">
        <w:rPr>
          <w:rStyle w:val="rvts0"/>
          <w:rFonts w:ascii="Times New Roman" w:hAnsi="Times New Roman" w:cs="Times New Roman"/>
          <w:sz w:val="28"/>
          <w:szCs w:val="28"/>
        </w:rPr>
        <w:t>о</w:t>
      </w:r>
      <w:r w:rsidR="00116D58" w:rsidRPr="00731BA7">
        <w:rPr>
          <w:rStyle w:val="rvts0"/>
          <w:rFonts w:ascii="Times New Roman" w:hAnsi="Times New Roman" w:cs="Times New Roman"/>
          <w:sz w:val="28"/>
          <w:szCs w:val="28"/>
        </w:rPr>
        <w:t>ю, з огляду, насамперед, на пр</w:t>
      </w:r>
      <w:r w:rsidR="00EA6E4A" w:rsidRPr="00731BA7">
        <w:rPr>
          <w:rStyle w:val="rvts0"/>
          <w:rFonts w:ascii="Times New Roman" w:hAnsi="Times New Roman" w:cs="Times New Roman"/>
          <w:sz w:val="28"/>
          <w:szCs w:val="28"/>
        </w:rPr>
        <w:t xml:space="preserve">ироду банків, як інституцій, які у своїй діяльності використовують залучені ресурси, </w:t>
      </w:r>
      <w:r w:rsidR="00AA4A64" w:rsidRPr="00731BA7">
        <w:rPr>
          <w:rStyle w:val="rvts0"/>
          <w:rFonts w:ascii="Times New Roman" w:hAnsi="Times New Roman" w:cs="Times New Roman"/>
          <w:sz w:val="28"/>
          <w:szCs w:val="28"/>
        </w:rPr>
        <w:t>що, відповідним чином, є визначальним при формуванні та реалізації банками політики ціноутворення</w:t>
      </w:r>
      <w:r w:rsidR="00116D58" w:rsidRPr="00731BA7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A2028B" w:rsidRPr="00731BA7">
        <w:rPr>
          <w:rStyle w:val="rvts0"/>
          <w:rFonts w:ascii="Times New Roman" w:hAnsi="Times New Roman" w:cs="Times New Roman"/>
          <w:sz w:val="28"/>
          <w:szCs w:val="28"/>
        </w:rPr>
        <w:t xml:space="preserve"> Крім того, такий підхід містить ризики завищення банками цін на інші послуги з метою компенсації збитків, або ж звуження пропозиції власних продуктів на ринку, що, у кінцевому </w:t>
      </w:r>
      <w:r w:rsidR="003B5111" w:rsidRPr="00731BA7">
        <w:rPr>
          <w:rStyle w:val="rvts0"/>
          <w:rFonts w:ascii="Times New Roman" w:hAnsi="Times New Roman" w:cs="Times New Roman"/>
          <w:sz w:val="28"/>
          <w:szCs w:val="28"/>
        </w:rPr>
        <w:t>результаті</w:t>
      </w:r>
      <w:r w:rsidR="00A2028B" w:rsidRPr="00731BA7">
        <w:rPr>
          <w:rStyle w:val="rvts0"/>
          <w:rFonts w:ascii="Times New Roman" w:hAnsi="Times New Roman" w:cs="Times New Roman"/>
          <w:sz w:val="28"/>
          <w:szCs w:val="28"/>
        </w:rPr>
        <w:t>, призводить до зменшення ємності та асортиментної структури останнього, обмежуючи, тим самим, доступ до нього споживачів.</w:t>
      </w:r>
      <w:r w:rsidR="00597463" w:rsidRPr="00731BA7">
        <w:rPr>
          <w:rStyle w:val="rvts0"/>
          <w:rFonts w:ascii="Times New Roman" w:hAnsi="Times New Roman" w:cs="Times New Roman"/>
          <w:sz w:val="28"/>
          <w:szCs w:val="28"/>
        </w:rPr>
        <w:t xml:space="preserve"> Зауважимо також, що вказана пропозиція у супровідних до проекту документах не обґрунтовується</w:t>
      </w:r>
      <w:r w:rsidR="00EA6E4A" w:rsidRPr="00731BA7">
        <w:rPr>
          <w:rStyle w:val="rvts0"/>
          <w:rFonts w:ascii="Times New Roman" w:hAnsi="Times New Roman" w:cs="Times New Roman"/>
          <w:sz w:val="28"/>
          <w:szCs w:val="28"/>
        </w:rPr>
        <w:t xml:space="preserve">, у тому числі, </w:t>
      </w:r>
      <w:r w:rsidR="003C590F" w:rsidRPr="00731BA7">
        <w:rPr>
          <w:rStyle w:val="rvts0"/>
          <w:rFonts w:ascii="Times New Roman" w:hAnsi="Times New Roman" w:cs="Times New Roman"/>
          <w:sz w:val="28"/>
          <w:szCs w:val="28"/>
        </w:rPr>
        <w:t xml:space="preserve">з визначенням </w:t>
      </w:r>
      <w:r w:rsidR="00EA6E4A" w:rsidRPr="00731BA7">
        <w:rPr>
          <w:rStyle w:val="rvts0"/>
          <w:rFonts w:ascii="Times New Roman" w:hAnsi="Times New Roman" w:cs="Times New Roman"/>
          <w:sz w:val="28"/>
          <w:szCs w:val="28"/>
        </w:rPr>
        <w:t>видів банківських послуг, ціноутворення на які передбачається здійснювати у пропонований спосіб</w:t>
      </w:r>
      <w:r w:rsidR="00597463" w:rsidRPr="00731BA7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14:paraId="45065A4A" w14:textId="71560523" w:rsidR="009D5C38" w:rsidRDefault="00AD429A" w:rsidP="00AD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BA7">
        <w:rPr>
          <w:rFonts w:ascii="Times New Roman" w:hAnsi="Times New Roman" w:cs="Times New Roman"/>
          <w:sz w:val="28"/>
          <w:szCs w:val="28"/>
        </w:rPr>
        <w:t>1.2</w:t>
      </w:r>
      <w:r w:rsidR="003B5111" w:rsidRPr="00731BA7">
        <w:rPr>
          <w:rFonts w:ascii="Times New Roman" w:hAnsi="Times New Roman" w:cs="Times New Roman"/>
          <w:sz w:val="28"/>
          <w:szCs w:val="28"/>
        </w:rPr>
        <w:t>6</w:t>
      </w:r>
      <w:r w:rsidRPr="00731BA7">
        <w:rPr>
          <w:rFonts w:ascii="Times New Roman" w:hAnsi="Times New Roman" w:cs="Times New Roman"/>
          <w:sz w:val="28"/>
          <w:szCs w:val="28"/>
        </w:rPr>
        <w:t>.</w:t>
      </w:r>
      <w:r w:rsidR="00645F42" w:rsidRPr="00731BA7">
        <w:rPr>
          <w:rFonts w:ascii="Times New Roman" w:hAnsi="Times New Roman" w:cs="Times New Roman"/>
          <w:sz w:val="28"/>
          <w:szCs w:val="28"/>
        </w:rPr>
        <w:t xml:space="preserve"> </w:t>
      </w:r>
      <w:r w:rsidR="003B5111" w:rsidRPr="00731BA7">
        <w:rPr>
          <w:rFonts w:ascii="Times New Roman" w:hAnsi="Times New Roman" w:cs="Times New Roman"/>
          <w:sz w:val="28"/>
          <w:szCs w:val="28"/>
        </w:rPr>
        <w:t>Із</w:t>
      </w:r>
      <w:r w:rsidR="009D5C38" w:rsidRPr="00731BA7">
        <w:rPr>
          <w:rFonts w:ascii="Times New Roman" w:hAnsi="Times New Roman" w:cs="Times New Roman"/>
          <w:sz w:val="28"/>
          <w:szCs w:val="28"/>
        </w:rPr>
        <w:t xml:space="preserve"> приписів </w:t>
      </w:r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оновленої </w:t>
      </w:r>
      <w:bookmarkStart w:id="3" w:name="_Hlk59869417"/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ч. 4 ст. 59 Закону</w:t>
      </w:r>
      <w:bookmarkEnd w:id="3"/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нової ч. 6</w:t>
      </w:r>
      <w:r w:rsidRPr="00731B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137 Господарського процесуального кодексу</w:t>
      </w:r>
      <w:r w:rsidR="003B5111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оновленої ч. 4 ст. 150 Цивільного процесуального кодексу України, ч. 3 ст. 52 Закону України </w:t>
      </w:r>
      <w:r w:rsidR="003B5111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виконавче провадження»</w:t>
      </w:r>
      <w:r w:rsidR="009D5C38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якими </w:t>
      </w:r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пропонується заборонити накладати арешт на </w:t>
      </w:r>
      <w:r w:rsidR="009D5C38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1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кошти</w:t>
      </w:r>
      <w:r w:rsidRPr="00072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банку, що знаходяться на його кореспондентських рахунках</w:t>
      </w:r>
      <w:r w:rsidR="009D5C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 зовсім зрозуміло, про що саме йдеться</w:t>
      </w:r>
      <w:r w:rsidR="0045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тому числі, з огляду на </w:t>
      </w:r>
      <w:r w:rsidR="0001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що у пояснювальній записці до проекту йдеться про «</w:t>
      </w:r>
      <w:r w:rsidR="009D5C38" w:rsidRPr="00715ACA">
        <w:rPr>
          <w:rFonts w:ascii="Times New Roman" w:hAnsi="Times New Roman"/>
          <w:sz w:val="28"/>
          <w:szCs w:val="28"/>
        </w:rPr>
        <w:t xml:space="preserve">заборону накладення арешту на </w:t>
      </w:r>
      <w:r w:rsidR="009D5C38" w:rsidRPr="00C405E1">
        <w:rPr>
          <w:rFonts w:ascii="Times New Roman" w:hAnsi="Times New Roman"/>
          <w:i/>
          <w:sz w:val="28"/>
          <w:szCs w:val="28"/>
        </w:rPr>
        <w:t>кошти, що знаходяться на кореспондентських рахунках банку</w:t>
      </w:r>
      <w:r w:rsidR="004538CC">
        <w:rPr>
          <w:rFonts w:ascii="Times New Roman" w:hAnsi="Times New Roman"/>
          <w:i/>
          <w:sz w:val="28"/>
          <w:szCs w:val="28"/>
        </w:rPr>
        <w:t>»</w:t>
      </w:r>
      <w:r w:rsidR="00010B86">
        <w:rPr>
          <w:rFonts w:ascii="Times New Roman" w:hAnsi="Times New Roman"/>
          <w:sz w:val="28"/>
          <w:szCs w:val="28"/>
        </w:rPr>
        <w:t>.</w:t>
      </w:r>
    </w:p>
    <w:p w14:paraId="1FC2A98B" w14:textId="4718BCE5" w:rsidR="000A543B" w:rsidRPr="00731BA7" w:rsidRDefault="000A543B" w:rsidP="00AD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Принагідно зауважимо, що припис нової </w:t>
      </w:r>
      <w:r w:rsidRPr="007D2236">
        <w:rPr>
          <w:rFonts w:ascii="Times New Roman" w:hAnsi="Times New Roman" w:cs="Times New Roman"/>
          <w:sz w:val="28"/>
          <w:szCs w:val="28"/>
        </w:rPr>
        <w:t xml:space="preserve">ч. </w:t>
      </w:r>
      <w:r w:rsidRPr="007D2236">
        <w:rPr>
          <w:rFonts w:ascii="Times New Roman" w:hAnsi="Times New Roman"/>
          <w:sz w:val="28"/>
          <w:szCs w:val="28"/>
          <w:lang w:eastAsia="uk-UA"/>
        </w:rPr>
        <w:t>6</w:t>
      </w:r>
      <w:r w:rsidRPr="007D2236">
        <w:rPr>
          <w:rFonts w:ascii="Times New Roman" w:hAnsi="Times New Roman"/>
          <w:sz w:val="28"/>
          <w:szCs w:val="28"/>
          <w:vertAlign w:val="superscript"/>
          <w:lang w:eastAsia="uk-UA"/>
        </w:rPr>
        <w:t>1</w:t>
      </w:r>
      <w:r>
        <w:rPr>
          <w:rFonts w:ascii="Times New Roman" w:hAnsi="Times New Roman"/>
          <w:sz w:val="28"/>
          <w:szCs w:val="28"/>
          <w:vertAlign w:val="superscript"/>
          <w:lang w:eastAsia="uk-UA"/>
        </w:rPr>
        <w:t xml:space="preserve"> </w:t>
      </w:r>
      <w:r w:rsidRPr="007D2236">
        <w:rPr>
          <w:rFonts w:ascii="Times New Roman" w:hAnsi="Times New Roman" w:cs="Times New Roman"/>
          <w:sz w:val="28"/>
          <w:szCs w:val="28"/>
        </w:rPr>
        <w:t>ст. 137 Господарського процесуального кодексу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236">
        <w:rPr>
          <w:rFonts w:ascii="Times New Roman" w:hAnsi="Times New Roman"/>
          <w:sz w:val="28"/>
          <w:szCs w:val="28"/>
          <w:lang w:eastAsia="uk-UA"/>
        </w:rPr>
        <w:t xml:space="preserve"> згідно з як</w:t>
      </w:r>
      <w:r>
        <w:rPr>
          <w:rFonts w:ascii="Times New Roman" w:hAnsi="Times New Roman"/>
          <w:sz w:val="28"/>
          <w:szCs w:val="28"/>
          <w:lang w:eastAsia="uk-UA"/>
        </w:rPr>
        <w:t>им</w:t>
      </w:r>
      <w:r w:rsidRPr="007D2236">
        <w:rPr>
          <w:rFonts w:ascii="Times New Roman" w:hAnsi="Times New Roman"/>
          <w:sz w:val="28"/>
          <w:szCs w:val="28"/>
          <w:lang w:eastAsia="uk-UA"/>
        </w:rPr>
        <w:t xml:space="preserve"> «не допускається </w:t>
      </w:r>
      <w:r w:rsidR="00BA2A9A" w:rsidRPr="00BA2A9A">
        <w:rPr>
          <w:rFonts w:ascii="Times New Roman" w:hAnsi="Times New Roman"/>
          <w:sz w:val="28"/>
          <w:szCs w:val="28"/>
          <w:lang w:val="ru-RU" w:eastAsia="uk-UA"/>
        </w:rPr>
        <w:t xml:space="preserve">      </w:t>
      </w:r>
      <w:r w:rsidRPr="00731BA7">
        <w:rPr>
          <w:rFonts w:ascii="Times New Roman" w:hAnsi="Times New Roman"/>
          <w:sz w:val="28"/>
          <w:szCs w:val="28"/>
          <w:lang w:eastAsia="uk-UA"/>
        </w:rPr>
        <w:t>забезпечення позову шляхом накладення арешту на кошти банку, що знаходяться на його кореспондентських рахунках», належить до предмету регулювання ч. 7 цієї ж статті.</w:t>
      </w:r>
    </w:p>
    <w:p w14:paraId="09EEF91D" w14:textId="0C0FFE76" w:rsidR="00411925" w:rsidRDefault="0046790C" w:rsidP="00AD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A7">
        <w:rPr>
          <w:rFonts w:ascii="Times New Roman" w:hAnsi="Times New Roman"/>
          <w:sz w:val="28"/>
          <w:szCs w:val="28"/>
          <w:lang w:eastAsia="uk-UA"/>
        </w:rPr>
        <w:t>1.2</w:t>
      </w:r>
      <w:r w:rsidR="003B5111" w:rsidRPr="00731BA7">
        <w:rPr>
          <w:rFonts w:ascii="Times New Roman" w:hAnsi="Times New Roman"/>
          <w:sz w:val="28"/>
          <w:szCs w:val="28"/>
          <w:lang w:eastAsia="uk-UA"/>
        </w:rPr>
        <w:t>7</w:t>
      </w:r>
      <w:r w:rsidRPr="00731BA7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Дискусійною виглядає пропозиція оновленої ст. 56 Закону щодо розміщення банками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відомостей 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боржників, які є пов’язаними із банком особами, що прострочили виконання зобов’язань (за основною сумою та відсотками) перед банком на строк понад 180 днів, а також вимоги банку до таких боржників». На наш погляд, вказані дані не стосу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інформування споживачів послуг банку,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загалом,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предметом регулювання вказаної статті, а має значення лише для цілей банківського нагляду. </w:t>
      </w:r>
      <w:r w:rsidR="006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цілому ж, </w:t>
      </w:r>
      <w:r w:rsidR="00CC5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внесена пропозиція потребує належного обґрунтування, зокрема, у контексті мети її запровадження.</w:t>
      </w:r>
    </w:p>
    <w:p w14:paraId="2FD7892E" w14:textId="77777777" w:rsidR="0046790C" w:rsidRPr="007D2236" w:rsidRDefault="0046790C" w:rsidP="00AD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Аналогічне зауваження стосується й нової ч. 6 ст. 18 Закону України «Про систему гарантування</w:t>
      </w:r>
      <w:r w:rsidR="0041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вкладів</w:t>
      </w:r>
      <w:r w:rsidR="0041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r w:rsidR="0041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осіб».</w:t>
      </w:r>
    </w:p>
    <w:p w14:paraId="7AB673A9" w14:textId="1DB5F7BB" w:rsidR="00D6055F" w:rsidRPr="00731BA7" w:rsidRDefault="0018212A" w:rsidP="00AD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4254DE" w:rsidRPr="00731BA7">
        <w:rPr>
          <w:rFonts w:ascii="Times New Roman" w:hAnsi="Times New Roman"/>
          <w:sz w:val="28"/>
          <w:szCs w:val="28"/>
        </w:rPr>
        <w:t>2</w:t>
      </w:r>
      <w:r w:rsidR="003B5111" w:rsidRPr="00731BA7">
        <w:rPr>
          <w:rFonts w:ascii="Times New Roman" w:hAnsi="Times New Roman"/>
          <w:sz w:val="28"/>
          <w:szCs w:val="28"/>
        </w:rPr>
        <w:t>8</w:t>
      </w:r>
      <w:r w:rsidRPr="00731BA7">
        <w:rPr>
          <w:rFonts w:ascii="Times New Roman" w:hAnsi="Times New Roman"/>
          <w:sz w:val="28"/>
          <w:szCs w:val="28"/>
        </w:rPr>
        <w:t xml:space="preserve">. </w:t>
      </w:r>
      <w:r w:rsidR="009E732E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Сумнівною </w:t>
      </w:r>
      <w:r w:rsidR="00D6055F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виглядає </w:t>
      </w:r>
      <w:r w:rsidR="009E732E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пропозиція нового п. 13 ч. 2 ст. 60 Закону, з</w:t>
      </w:r>
      <w:r w:rsidR="00D6055F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яким </w:t>
      </w:r>
      <w:r w:rsidR="009E732E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банківською таємницею є «</w:t>
      </w:r>
      <w:r w:rsidR="009E732E" w:rsidRPr="00731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рішення Національного банку України про застосування заходів впливу</w:t>
      </w:r>
      <w:r w:rsidR="009E732E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крім рішень про накладення штрафів, про віднесення банку до категорії неплатоспроможного, про відкликання банківської ліцензії та ліквідація банку», адже йдеться про рішення, якими передбачено заход</w:t>
      </w:r>
      <w:r w:rsidR="00D6055F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732E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примусу за порушення, зокрема, банківського законодавства. </w:t>
      </w:r>
    </w:p>
    <w:p w14:paraId="44802550" w14:textId="54B071DB" w:rsidR="00086E7C" w:rsidRDefault="00086E7C" w:rsidP="00AD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B5111"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Видається зайвим припис оновленої ст. 61</w:t>
      </w:r>
      <w:r w:rsidR="005C2A07" w:rsidRPr="005C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Закону, за яким «особи, винні в розголошенні інформації, що становить банківську таємницю та/або </w:t>
      </w:r>
      <w:r w:rsidR="005C2A07" w:rsidRPr="005C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31BA7">
        <w:rPr>
          <w:rFonts w:ascii="Times New Roman" w:eastAsia="Times New Roman" w:hAnsi="Times New Roman" w:cs="Times New Roman"/>
          <w:sz w:val="28"/>
          <w:szCs w:val="28"/>
          <w:lang w:eastAsia="ru-RU"/>
        </w:rPr>
        <w:t>її використанні на свою користь чи на користь третіх осіб, що заподіяло банку чи його клієнту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збитки, зобов'язані відшкодувати завдані збитки та моральну шкоду відповідно до закону», адже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попереднім приписом цієї ж статті 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 передбачена загальна норма, що стосується відповідальності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порушення порядку розкриття та використання банківської таємниці.</w:t>
      </w:r>
    </w:p>
    <w:p w14:paraId="03243EEA" w14:textId="77777777" w:rsidR="00496635" w:rsidRDefault="00496635" w:rsidP="00AD7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66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496635">
        <w:rPr>
          <w:rFonts w:ascii="Times New Roman" w:hAnsi="Times New Roman" w:cs="Times New Roman"/>
          <w:b/>
          <w:bCs/>
          <w:i/>
          <w:sz w:val="28"/>
          <w:szCs w:val="28"/>
        </w:rPr>
        <w:t>Щодо змін до Закону України «Про Національний банк України»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(далі у цьому пункті – Закон)</w:t>
      </w:r>
    </w:p>
    <w:p w14:paraId="208E4A1C" w14:textId="459A3A76" w:rsidR="00496635" w:rsidRDefault="00496635" w:rsidP="00AD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В </w:t>
      </w:r>
      <w:r w:rsidRPr="007D2236">
        <w:rPr>
          <w:rFonts w:ascii="Times New Roman" w:hAnsi="Times New Roman" w:cs="Times New Roman"/>
          <w:sz w:val="28"/>
          <w:szCs w:val="28"/>
        </w:rPr>
        <w:t xml:space="preserve">оновленій ч. 13 ст. 10 Закону </w:t>
      </w:r>
      <w:r w:rsidRPr="007D2236">
        <w:rPr>
          <w:rFonts w:ascii="Times New Roman" w:hAnsi="Times New Roman" w:cs="Times New Roman"/>
          <w:sz w:val="28"/>
          <w:szCs w:val="28"/>
        </w:rPr>
        <w:tab/>
        <w:t>пропонується встановити, що</w:t>
      </w:r>
      <w:r w:rsidR="00425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2236">
        <w:rPr>
          <w:rFonts w:ascii="Times New Roman" w:hAnsi="Times New Roman" w:cs="Times New Roman"/>
          <w:sz w:val="28"/>
          <w:szCs w:val="28"/>
        </w:rPr>
        <w:t xml:space="preserve">щомісячна винагорода члена Ради Національного банку становить </w:t>
      </w:r>
      <w:r w:rsidR="004254DE">
        <w:rPr>
          <w:rFonts w:ascii="Times New Roman" w:hAnsi="Times New Roman" w:cs="Times New Roman"/>
          <w:sz w:val="28"/>
          <w:szCs w:val="28"/>
        </w:rPr>
        <w:br/>
      </w:r>
      <w:r w:rsidRPr="007D223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відсотків </w:t>
      </w:r>
      <w:r w:rsidRPr="007D2236">
        <w:rPr>
          <w:rFonts w:ascii="Times New Roman" w:hAnsi="Times New Roman" w:cs="Times New Roman"/>
          <w:sz w:val="28"/>
          <w:szCs w:val="28"/>
        </w:rPr>
        <w:t>від максимального розміру посадового  окладу члена Правління Національного банку». При цьому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236">
        <w:rPr>
          <w:rFonts w:ascii="Times New Roman" w:hAnsi="Times New Roman" w:cs="Times New Roman"/>
          <w:sz w:val="28"/>
          <w:szCs w:val="28"/>
        </w:rPr>
        <w:t xml:space="preserve"> виключається положення п. 20 ч. 1 </w:t>
      </w:r>
      <w:r>
        <w:rPr>
          <w:rFonts w:ascii="Times New Roman" w:hAnsi="Times New Roman" w:cs="Times New Roman"/>
          <w:sz w:val="28"/>
          <w:szCs w:val="28"/>
        </w:rPr>
        <w:t xml:space="preserve">цієї ж статті, </w:t>
      </w:r>
      <w:r w:rsidRPr="007D2236">
        <w:rPr>
          <w:rFonts w:ascii="Times New Roman" w:hAnsi="Times New Roman" w:cs="Times New Roman"/>
          <w:sz w:val="28"/>
          <w:szCs w:val="28"/>
        </w:rPr>
        <w:t>згідно з як</w:t>
      </w:r>
      <w:r>
        <w:rPr>
          <w:rFonts w:ascii="Times New Roman" w:hAnsi="Times New Roman" w:cs="Times New Roman"/>
          <w:sz w:val="28"/>
          <w:szCs w:val="28"/>
        </w:rPr>
        <w:t>им «</w:t>
      </w:r>
      <w:r w:rsidRPr="007D2236">
        <w:rPr>
          <w:rFonts w:ascii="Times New Roman" w:hAnsi="Times New Roman" w:cs="Times New Roman"/>
          <w:sz w:val="28"/>
          <w:szCs w:val="28"/>
        </w:rPr>
        <w:t>розмір щорічної винагороди члена Ради Національного банку України не може бути вищим за чотирикратний максимальний розмір заробітної плати члена Правління Національного банку за один місяць». Звертаємо увагу, що у супровідних до проекту документах відсутнє належне обґрунтування вказаного розміру</w:t>
      </w:r>
      <w:r>
        <w:rPr>
          <w:rFonts w:ascii="Times New Roman" w:hAnsi="Times New Roman" w:cs="Times New Roman"/>
          <w:sz w:val="28"/>
          <w:szCs w:val="28"/>
        </w:rPr>
        <w:t xml:space="preserve"> винагороди</w:t>
      </w:r>
      <w:r w:rsidRPr="007D2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236">
        <w:rPr>
          <w:rFonts w:ascii="Times New Roman" w:hAnsi="Times New Roman" w:cs="Times New Roman"/>
          <w:sz w:val="28"/>
          <w:szCs w:val="28"/>
        </w:rPr>
        <w:t xml:space="preserve"> тому числі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контексті його </w:t>
      </w:r>
      <w:r w:rsidRPr="007D2236">
        <w:rPr>
          <w:rFonts w:ascii="Times New Roman" w:hAnsi="Times New Roman" w:cs="Times New Roman"/>
          <w:sz w:val="28"/>
          <w:szCs w:val="28"/>
        </w:rPr>
        <w:t>впливу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2236">
        <w:rPr>
          <w:rFonts w:ascii="Times New Roman" w:hAnsi="Times New Roman" w:cs="Times New Roman"/>
          <w:sz w:val="28"/>
          <w:szCs w:val="28"/>
        </w:rPr>
        <w:t>враховуючи імовірне зниження розміру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D2236">
        <w:rPr>
          <w:rFonts w:ascii="Times New Roman" w:hAnsi="Times New Roman" w:cs="Times New Roman"/>
          <w:sz w:val="28"/>
          <w:szCs w:val="28"/>
        </w:rPr>
        <w:t>на об’єктивність та незалежність прийняття рішень членами Ради Національного банку України.</w:t>
      </w:r>
    </w:p>
    <w:p w14:paraId="0DBDE95F" w14:textId="77777777" w:rsidR="00496635" w:rsidRDefault="00496635" w:rsidP="00AD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Та</w:t>
      </w:r>
      <w:r w:rsidRPr="007D2236">
        <w:rPr>
          <w:rFonts w:ascii="Times New Roman" w:hAnsi="Times New Roman" w:cs="Times New Roman"/>
          <w:sz w:val="28"/>
          <w:szCs w:val="28"/>
        </w:rPr>
        <w:t xml:space="preserve">кими, що потребують належного обґрунтування, видаються пропозиції ч. 2 ст. 11 та ч. 6 ст. </w:t>
      </w:r>
      <w:r w:rsidRPr="007D2236">
        <w:rPr>
          <w:rFonts w:ascii="Times New Roman" w:hAnsi="Times New Roman" w:cs="Times New Roman"/>
          <w:bCs/>
          <w:sz w:val="28"/>
          <w:szCs w:val="28"/>
        </w:rPr>
        <w:t>13</w:t>
      </w:r>
      <w:r w:rsidRPr="007D2236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D2236">
        <w:rPr>
          <w:rFonts w:ascii="Times New Roman" w:hAnsi="Times New Roman" w:cs="Times New Roman"/>
          <w:sz w:val="28"/>
          <w:szCs w:val="28"/>
        </w:rPr>
        <w:t>Закону щодо зменшення кільк</w:t>
      </w:r>
      <w:r>
        <w:rPr>
          <w:rFonts w:ascii="Times New Roman" w:hAnsi="Times New Roman" w:cs="Times New Roman"/>
          <w:sz w:val="28"/>
          <w:szCs w:val="28"/>
        </w:rPr>
        <w:t xml:space="preserve">ості </w:t>
      </w:r>
      <w:r w:rsidRPr="007D2236">
        <w:rPr>
          <w:rFonts w:ascii="Times New Roman" w:hAnsi="Times New Roman" w:cs="Times New Roman"/>
          <w:sz w:val="28"/>
          <w:szCs w:val="28"/>
        </w:rPr>
        <w:t xml:space="preserve">засідань членів Ради Національного банку України та Аудиторського комітету Ради з десяти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7D2236">
        <w:rPr>
          <w:rFonts w:ascii="Times New Roman" w:hAnsi="Times New Roman" w:cs="Times New Roman"/>
          <w:sz w:val="28"/>
          <w:szCs w:val="28"/>
        </w:rPr>
        <w:t>чотир</w:t>
      </w:r>
      <w:r>
        <w:rPr>
          <w:rFonts w:ascii="Times New Roman" w:hAnsi="Times New Roman" w:cs="Times New Roman"/>
          <w:sz w:val="28"/>
          <w:szCs w:val="28"/>
        </w:rPr>
        <w:t xml:space="preserve">ьох </w:t>
      </w:r>
      <w:r w:rsidRPr="007D2236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7D2236">
        <w:rPr>
          <w:rFonts w:ascii="Times New Roman" w:hAnsi="Times New Roman" w:cs="Times New Roman"/>
          <w:sz w:val="28"/>
          <w:szCs w:val="28"/>
        </w:rPr>
        <w:t xml:space="preserve"> на рік. Звертаємо увагу, що зазначені положення </w:t>
      </w:r>
      <w:r w:rsidR="004254DE">
        <w:rPr>
          <w:rFonts w:ascii="Times New Roman" w:hAnsi="Times New Roman" w:cs="Times New Roman"/>
          <w:sz w:val="28"/>
          <w:szCs w:val="28"/>
        </w:rPr>
        <w:t xml:space="preserve">свого часу </w:t>
      </w:r>
      <w:r w:rsidRPr="007D2236">
        <w:rPr>
          <w:rFonts w:ascii="Times New Roman" w:hAnsi="Times New Roman" w:cs="Times New Roman"/>
          <w:sz w:val="28"/>
          <w:szCs w:val="28"/>
        </w:rPr>
        <w:t xml:space="preserve">були запроваджені Законом України «Про внесення змін до деяких законодавчих актів України щодо розбудови інституційної спроможності Національного банку України»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D2236">
        <w:rPr>
          <w:rStyle w:val="dat0"/>
          <w:rFonts w:ascii="Times New Roman" w:hAnsi="Times New Roman" w:cs="Times New Roman"/>
          <w:sz w:val="28"/>
          <w:szCs w:val="28"/>
        </w:rPr>
        <w:t xml:space="preserve">18.06.2015 </w:t>
      </w:r>
      <w:r w:rsidRPr="007D22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36">
        <w:rPr>
          <w:rFonts w:ascii="Times New Roman" w:hAnsi="Times New Roman" w:cs="Times New Roman"/>
          <w:sz w:val="28"/>
          <w:szCs w:val="28"/>
        </w:rPr>
        <w:t>541-VIII</w:t>
      </w:r>
      <w:r w:rsidRPr="007D2236">
        <w:rPr>
          <w:rStyle w:val="dat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dat0"/>
          <w:rFonts w:ascii="Times New Roman" w:hAnsi="Times New Roman" w:cs="Times New Roman"/>
          <w:sz w:val="28"/>
          <w:szCs w:val="28"/>
        </w:rPr>
        <w:t xml:space="preserve">з метою </w:t>
      </w:r>
      <w:r w:rsidRPr="007D2236">
        <w:rPr>
          <w:rFonts w:ascii="Times New Roman" w:hAnsi="Times New Roman" w:cs="Times New Roman"/>
          <w:sz w:val="28"/>
          <w:szCs w:val="28"/>
        </w:rPr>
        <w:t xml:space="preserve">створення правових засад для посилення інституційної, економічної, функціональної та фінансової незалежності Національного банку України одночасно з посиленням ефективності діяльності його керівних органів. </w:t>
      </w:r>
    </w:p>
    <w:p w14:paraId="49AE99C8" w14:textId="77777777" w:rsidR="00224C41" w:rsidRDefault="007626A1" w:rsidP="00AD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022EB">
        <w:rPr>
          <w:rFonts w:ascii="Times New Roman" w:hAnsi="Times New Roman" w:cs="Times New Roman"/>
          <w:sz w:val="28"/>
          <w:szCs w:val="28"/>
        </w:rPr>
        <w:t xml:space="preserve"> </w:t>
      </w:r>
      <w:r w:rsidR="00500F23" w:rsidRPr="007D2236">
        <w:rPr>
          <w:rFonts w:ascii="Times New Roman" w:hAnsi="Times New Roman" w:cs="Times New Roman"/>
          <w:sz w:val="28"/>
          <w:szCs w:val="28"/>
        </w:rPr>
        <w:t>Ви</w:t>
      </w:r>
      <w:r w:rsidR="006022EB">
        <w:rPr>
          <w:rFonts w:ascii="Times New Roman" w:hAnsi="Times New Roman" w:cs="Times New Roman"/>
          <w:sz w:val="28"/>
          <w:szCs w:val="28"/>
        </w:rPr>
        <w:t xml:space="preserve">никає питання щодо виключення у </w:t>
      </w:r>
      <w:r w:rsidR="00500F23" w:rsidRPr="007D2236">
        <w:rPr>
          <w:rFonts w:ascii="Times New Roman" w:hAnsi="Times New Roman" w:cs="Times New Roman"/>
          <w:sz w:val="28"/>
          <w:szCs w:val="28"/>
        </w:rPr>
        <w:t>ст. 52 Закону</w:t>
      </w:r>
      <w:r w:rsidR="006022EB">
        <w:rPr>
          <w:rFonts w:ascii="Times New Roman" w:hAnsi="Times New Roman" w:cs="Times New Roman"/>
          <w:sz w:val="28"/>
          <w:szCs w:val="28"/>
        </w:rPr>
        <w:t xml:space="preserve"> припису стосовно </w:t>
      </w:r>
      <w:r w:rsidR="00500F23" w:rsidRPr="007D2236">
        <w:rPr>
          <w:rFonts w:ascii="Times New Roman" w:hAnsi="Times New Roman" w:cs="Times New Roman"/>
          <w:sz w:val="28"/>
          <w:szCs w:val="28"/>
        </w:rPr>
        <w:t xml:space="preserve">участі  </w:t>
      </w:r>
      <w:r w:rsidR="006022EB">
        <w:rPr>
          <w:rFonts w:ascii="Times New Roman" w:hAnsi="Times New Roman" w:cs="Times New Roman"/>
          <w:sz w:val="28"/>
          <w:szCs w:val="28"/>
        </w:rPr>
        <w:t xml:space="preserve">у </w:t>
      </w:r>
      <w:r w:rsidR="00500F23" w:rsidRPr="007D2236">
        <w:rPr>
          <w:rFonts w:ascii="Times New Roman" w:hAnsi="Times New Roman" w:cs="Times New Roman"/>
          <w:sz w:val="28"/>
          <w:szCs w:val="28"/>
        </w:rPr>
        <w:t xml:space="preserve">засіданнях Правління Національного банку </w:t>
      </w:r>
      <w:r w:rsidR="006022EB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500F23" w:rsidRPr="007D2236">
        <w:rPr>
          <w:rFonts w:ascii="Times New Roman" w:hAnsi="Times New Roman" w:cs="Times New Roman"/>
          <w:sz w:val="28"/>
          <w:szCs w:val="28"/>
        </w:rPr>
        <w:t>членів Кабінету Міністрів України з правом дорадчого голосу</w:t>
      </w:r>
      <w:r w:rsidR="006022EB">
        <w:rPr>
          <w:rFonts w:ascii="Times New Roman" w:hAnsi="Times New Roman" w:cs="Times New Roman"/>
          <w:sz w:val="28"/>
          <w:szCs w:val="28"/>
        </w:rPr>
        <w:t xml:space="preserve"> </w:t>
      </w:r>
      <w:r w:rsidR="004254DE">
        <w:rPr>
          <w:rFonts w:ascii="Times New Roman" w:hAnsi="Times New Roman" w:cs="Times New Roman"/>
          <w:sz w:val="28"/>
          <w:szCs w:val="28"/>
        </w:rPr>
        <w:t xml:space="preserve">на фоні одночасного </w:t>
      </w:r>
      <w:r w:rsidR="006022EB">
        <w:rPr>
          <w:rFonts w:ascii="Times New Roman" w:hAnsi="Times New Roman" w:cs="Times New Roman"/>
          <w:sz w:val="28"/>
          <w:szCs w:val="28"/>
        </w:rPr>
        <w:t>збереження припису, за яким</w:t>
      </w:r>
      <w:r w:rsidR="00224C41">
        <w:rPr>
          <w:rFonts w:ascii="Times New Roman" w:hAnsi="Times New Roman" w:cs="Times New Roman"/>
          <w:sz w:val="28"/>
          <w:szCs w:val="28"/>
        </w:rPr>
        <w:t xml:space="preserve"> «</w:t>
      </w:r>
      <w:r w:rsidR="00224C41" w:rsidRPr="005410A3">
        <w:rPr>
          <w:rFonts w:ascii="Times New Roman" w:hAnsi="Times New Roman"/>
          <w:sz w:val="28"/>
          <w:szCs w:val="28"/>
        </w:rPr>
        <w:t>Голова Національного банку або за його дорученням один із його заступників можуть брати участь у засіданнях Кабінету Міністрів України з правом дорадчого голосу</w:t>
      </w:r>
      <w:r w:rsidR="00224C41">
        <w:rPr>
          <w:rFonts w:ascii="Times New Roman" w:hAnsi="Times New Roman"/>
          <w:sz w:val="28"/>
          <w:szCs w:val="28"/>
        </w:rPr>
        <w:t>»</w:t>
      </w:r>
      <w:r w:rsidR="00224C41" w:rsidRPr="005410A3">
        <w:rPr>
          <w:rFonts w:ascii="Times New Roman" w:hAnsi="Times New Roman"/>
          <w:sz w:val="28"/>
          <w:szCs w:val="28"/>
        </w:rPr>
        <w:t>.</w:t>
      </w:r>
    </w:p>
    <w:p w14:paraId="4A4E774E" w14:textId="77777777" w:rsidR="00144D25" w:rsidRPr="007D2236" w:rsidRDefault="00144D25" w:rsidP="00AD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D2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2236">
        <w:rPr>
          <w:rFonts w:ascii="Times New Roman" w:hAnsi="Times New Roman" w:cs="Times New Roman"/>
          <w:sz w:val="28"/>
          <w:szCs w:val="28"/>
        </w:rPr>
        <w:t>отребує додаткового обґрунтування пропозиція оновленого п. 4 ч. 2 ст. 5</w:t>
      </w:r>
      <w:r w:rsidRPr="00DF63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375">
        <w:rPr>
          <w:rFonts w:ascii="Times New Roman" w:hAnsi="Times New Roman" w:cs="Times New Roman"/>
          <w:b/>
          <w:i/>
          <w:sz w:val="28"/>
          <w:szCs w:val="28"/>
        </w:rPr>
        <w:t>Закону України «Про виконавче провадження»</w:t>
      </w:r>
      <w:r w:rsidRPr="00F31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236">
        <w:rPr>
          <w:rFonts w:ascii="Times New Roman" w:hAnsi="Times New Roman" w:cs="Times New Roman"/>
          <w:sz w:val="28"/>
          <w:szCs w:val="28"/>
        </w:rPr>
        <w:t>дозволити приватним виконавцям здійснювати примусове виконання рішень Н</w:t>
      </w:r>
      <w:r>
        <w:rPr>
          <w:rFonts w:ascii="Times New Roman" w:hAnsi="Times New Roman" w:cs="Times New Roman"/>
          <w:sz w:val="28"/>
          <w:szCs w:val="28"/>
        </w:rPr>
        <w:t>аціонального банку України</w:t>
      </w:r>
      <w:r w:rsidRPr="007D2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236">
        <w:rPr>
          <w:rFonts w:ascii="Times New Roman" w:hAnsi="Times New Roman" w:cs="Times New Roman"/>
          <w:sz w:val="28"/>
          <w:szCs w:val="28"/>
        </w:rPr>
        <w:t xml:space="preserve"> той 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236">
        <w:rPr>
          <w:rFonts w:ascii="Times New Roman" w:hAnsi="Times New Roman" w:cs="Times New Roman"/>
          <w:sz w:val="28"/>
          <w:szCs w:val="28"/>
        </w:rPr>
        <w:t xml:space="preserve"> як </w:t>
      </w:r>
      <w:r>
        <w:rPr>
          <w:rFonts w:ascii="Times New Roman" w:hAnsi="Times New Roman" w:cs="Times New Roman"/>
          <w:sz w:val="28"/>
          <w:szCs w:val="28"/>
        </w:rPr>
        <w:t xml:space="preserve">за загальним правилом </w:t>
      </w:r>
      <w:r w:rsidRPr="007D2236">
        <w:rPr>
          <w:rFonts w:ascii="Times New Roman" w:hAnsi="Times New Roman" w:cs="Times New Roman"/>
          <w:sz w:val="28"/>
          <w:szCs w:val="28"/>
        </w:rPr>
        <w:t>рішення, за якими стягувачами є держава, державні органи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236">
        <w:rPr>
          <w:rFonts w:ascii="Times New Roman" w:hAnsi="Times New Roman" w:cs="Times New Roman"/>
          <w:sz w:val="28"/>
          <w:szCs w:val="28"/>
        </w:rPr>
        <w:t xml:space="preserve"> покладається на органи державної виконавчої служби (державних виконавців). </w:t>
      </w:r>
    </w:p>
    <w:p w14:paraId="3F43C985" w14:textId="77777777" w:rsidR="00A81031" w:rsidRPr="000A543B" w:rsidRDefault="00BF1BD8" w:rsidP="00AD7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A543B" w:rsidRPr="000A543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81031" w:rsidRPr="000A543B">
        <w:rPr>
          <w:rFonts w:ascii="Times New Roman" w:hAnsi="Times New Roman" w:cs="Times New Roman"/>
          <w:b/>
          <w:i/>
          <w:sz w:val="28"/>
          <w:szCs w:val="28"/>
        </w:rPr>
        <w:t>До проекту є зауваження техніко</w:t>
      </w:r>
      <w:r w:rsidR="00DF637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81031" w:rsidRPr="000A543B">
        <w:rPr>
          <w:rFonts w:ascii="Times New Roman" w:hAnsi="Times New Roman" w:cs="Times New Roman"/>
          <w:b/>
          <w:i/>
          <w:sz w:val="28"/>
          <w:szCs w:val="28"/>
        </w:rPr>
        <w:t>юридичного характеру.</w:t>
      </w:r>
    </w:p>
    <w:p w14:paraId="2696D985" w14:textId="77777777" w:rsidR="00A81031" w:rsidRDefault="00BF1BD8" w:rsidP="00AD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43B">
        <w:rPr>
          <w:rFonts w:ascii="Times New Roman" w:hAnsi="Times New Roman" w:cs="Times New Roman"/>
          <w:sz w:val="28"/>
          <w:szCs w:val="28"/>
        </w:rPr>
        <w:t xml:space="preserve">.1. </w:t>
      </w:r>
      <w:r w:rsidR="00A81031" w:rsidRPr="007D2236">
        <w:rPr>
          <w:rFonts w:ascii="Times New Roman" w:hAnsi="Times New Roman" w:cs="Times New Roman"/>
          <w:sz w:val="28"/>
          <w:szCs w:val="28"/>
        </w:rPr>
        <w:t>У проекті про внесення змін до деяких законодавчих актів останні мають розміщуватися у хронологічному порядку.</w:t>
      </w:r>
    </w:p>
    <w:p w14:paraId="042393DE" w14:textId="77777777" w:rsidR="00A81031" w:rsidRPr="00731BA7" w:rsidRDefault="00BF1BD8" w:rsidP="00AD7825">
      <w:pPr>
        <w:spacing w:after="0" w:line="24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A543B">
        <w:rPr>
          <w:rFonts w:ascii="Times New Roman" w:hAnsi="Times New Roman" w:cs="Times New Roman"/>
          <w:sz w:val="28"/>
          <w:szCs w:val="28"/>
        </w:rPr>
        <w:t xml:space="preserve">.2. </w:t>
      </w:r>
      <w:r w:rsidR="00A81031" w:rsidRPr="007D2236">
        <w:rPr>
          <w:rStyle w:val="rvts0"/>
          <w:rFonts w:ascii="Times New Roman" w:hAnsi="Times New Roman" w:cs="Times New Roman"/>
          <w:sz w:val="28"/>
          <w:szCs w:val="28"/>
        </w:rPr>
        <w:t xml:space="preserve">Щодо змін до </w:t>
      </w:r>
      <w:r w:rsidR="00A81031" w:rsidRPr="00646A38">
        <w:rPr>
          <w:rFonts w:ascii="Times New Roman" w:hAnsi="Times New Roman"/>
          <w:sz w:val="28"/>
          <w:szCs w:val="28"/>
        </w:rPr>
        <w:t>Закону України «</w:t>
      </w:r>
      <w:r w:rsidR="00A81031" w:rsidRPr="00646A38">
        <w:rPr>
          <w:rStyle w:val="rvts44"/>
          <w:rFonts w:ascii="Times New Roman" w:hAnsi="Times New Roman"/>
          <w:bCs/>
          <w:sz w:val="28"/>
          <w:szCs w:val="28"/>
        </w:rPr>
        <w:t>Про внесення змін до деяких законодавчих актів України щодо спрощення залучення інвестицій та запровадження нових фінансових інструментів»</w:t>
      </w:r>
      <w:r w:rsidR="00A81031" w:rsidRPr="007D2236">
        <w:rPr>
          <w:rStyle w:val="rvts44"/>
          <w:rFonts w:ascii="Times New Roman" w:hAnsi="Times New Roman"/>
          <w:bCs/>
          <w:sz w:val="28"/>
          <w:szCs w:val="28"/>
        </w:rPr>
        <w:t>, зокрема, у частині змін до Закону України «Про банки і банківську діяльність», звертаємо увагу на вимоги Регламенту Верховної Ради України</w:t>
      </w:r>
      <w:r w:rsidR="00A81031" w:rsidRPr="007D2236">
        <w:rPr>
          <w:rStyle w:val="rvts44"/>
          <w:rFonts w:ascii="Times New Roman" w:hAnsi="Times New Roman" w:cs="Times New Roman"/>
          <w:bCs/>
          <w:sz w:val="28"/>
          <w:szCs w:val="28"/>
        </w:rPr>
        <w:t>, за якими «д</w:t>
      </w:r>
      <w:r w:rsidR="00A81031" w:rsidRPr="007D2236">
        <w:rPr>
          <w:rStyle w:val="rvts0"/>
          <w:rFonts w:ascii="Times New Roman" w:hAnsi="Times New Roman" w:cs="Times New Roman"/>
          <w:sz w:val="28"/>
          <w:szCs w:val="28"/>
        </w:rPr>
        <w:t xml:space="preserve">о законопроекту про внесення змін до законів додається порівняльна таблиця, яка містить редакцію відповідних положень (статей, частин, пунктів, абзаців тощо) </w:t>
      </w:r>
      <w:r w:rsidR="00A81031" w:rsidRPr="00731BA7">
        <w:rPr>
          <w:rStyle w:val="rvts0"/>
          <w:rFonts w:ascii="Times New Roman" w:hAnsi="Times New Roman" w:cs="Times New Roman"/>
          <w:i/>
          <w:sz w:val="28"/>
          <w:szCs w:val="28"/>
        </w:rPr>
        <w:t>чинного</w:t>
      </w:r>
      <w:r w:rsidR="00A81031" w:rsidRPr="00731BA7">
        <w:rPr>
          <w:rStyle w:val="rvts0"/>
          <w:rFonts w:ascii="Times New Roman" w:hAnsi="Times New Roman" w:cs="Times New Roman"/>
          <w:sz w:val="28"/>
          <w:szCs w:val="28"/>
        </w:rPr>
        <w:t xml:space="preserve"> закону та нову його редакцію з урахуванням запропонованих змін» (ч. 6 ст. 91).</w:t>
      </w:r>
    </w:p>
    <w:p w14:paraId="63EC693D" w14:textId="0CCA45F5" w:rsidR="00847340" w:rsidRDefault="00BF1BD8" w:rsidP="00AD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BA7">
        <w:rPr>
          <w:rStyle w:val="rvts0"/>
          <w:rFonts w:ascii="Times New Roman" w:hAnsi="Times New Roman" w:cs="Times New Roman"/>
          <w:sz w:val="28"/>
          <w:szCs w:val="28"/>
        </w:rPr>
        <w:t>4</w:t>
      </w:r>
      <w:r w:rsidR="00C56064" w:rsidRPr="00731BA7">
        <w:rPr>
          <w:rStyle w:val="rvts0"/>
          <w:rFonts w:ascii="Times New Roman" w:hAnsi="Times New Roman" w:cs="Times New Roman"/>
          <w:sz w:val="28"/>
          <w:szCs w:val="28"/>
        </w:rPr>
        <w:t xml:space="preserve">.3. У </w:t>
      </w:r>
      <w:r w:rsidR="00C56064" w:rsidRPr="00731BA7">
        <w:rPr>
          <w:rFonts w:ascii="Times New Roman" w:hAnsi="Times New Roman" w:cs="Times New Roman"/>
          <w:sz w:val="28"/>
          <w:szCs w:val="28"/>
        </w:rPr>
        <w:t xml:space="preserve">проекті одночасно викладаються зміни до Закону України </w:t>
      </w:r>
      <w:r w:rsidR="00A07483" w:rsidRPr="00731BA7">
        <w:rPr>
          <w:rFonts w:ascii="Times New Roman" w:hAnsi="Times New Roman" w:cs="Times New Roman"/>
          <w:sz w:val="28"/>
          <w:szCs w:val="28"/>
        </w:rPr>
        <w:br/>
      </w:r>
      <w:r w:rsidR="00C56064" w:rsidRPr="00731BA7">
        <w:rPr>
          <w:rFonts w:ascii="Times New Roman" w:hAnsi="Times New Roman" w:cs="Times New Roman"/>
          <w:sz w:val="28"/>
          <w:szCs w:val="28"/>
        </w:rPr>
        <w:t>«Про банки і банківську діяльність» у п. 4 розділу I та у п. 2 розділу II проекту.</w:t>
      </w:r>
      <w:r w:rsidR="00C56064">
        <w:rPr>
          <w:rFonts w:ascii="Times New Roman" w:hAnsi="Times New Roman" w:cs="Times New Roman"/>
          <w:sz w:val="28"/>
          <w:szCs w:val="28"/>
        </w:rPr>
        <w:t xml:space="preserve"> При цьому, </w:t>
      </w:r>
      <w:r w:rsidR="00C56064" w:rsidRPr="007D2236">
        <w:rPr>
          <w:rFonts w:ascii="Times New Roman" w:hAnsi="Times New Roman" w:cs="Times New Roman"/>
          <w:sz w:val="28"/>
          <w:szCs w:val="28"/>
        </w:rPr>
        <w:t xml:space="preserve">за змістом пропонованих у п. 2 </w:t>
      </w:r>
      <w:bookmarkStart w:id="4" w:name="_Hlk59822105"/>
      <w:r w:rsidR="00C56064" w:rsidRPr="007D2236">
        <w:rPr>
          <w:rFonts w:ascii="Times New Roman" w:hAnsi="Times New Roman" w:cs="Times New Roman"/>
          <w:sz w:val="28"/>
          <w:szCs w:val="28"/>
        </w:rPr>
        <w:t xml:space="preserve">розділу II проекту </w:t>
      </w:r>
      <w:bookmarkEnd w:id="4"/>
      <w:r w:rsidR="00C56064" w:rsidRPr="007D2236">
        <w:rPr>
          <w:rFonts w:ascii="Times New Roman" w:hAnsi="Times New Roman" w:cs="Times New Roman"/>
          <w:sz w:val="28"/>
          <w:szCs w:val="28"/>
        </w:rPr>
        <w:t xml:space="preserve">змін до </w:t>
      </w:r>
      <w:r w:rsidR="00C56064">
        <w:rPr>
          <w:rFonts w:ascii="Times New Roman" w:hAnsi="Times New Roman" w:cs="Times New Roman"/>
          <w:sz w:val="28"/>
          <w:szCs w:val="28"/>
        </w:rPr>
        <w:t xml:space="preserve">вказаного </w:t>
      </w:r>
      <w:r w:rsidR="00C56064" w:rsidRPr="007D2236">
        <w:rPr>
          <w:rFonts w:ascii="Times New Roman" w:hAnsi="Times New Roman" w:cs="Times New Roman"/>
          <w:sz w:val="28"/>
          <w:szCs w:val="28"/>
        </w:rPr>
        <w:t xml:space="preserve">Закону фактично йдеться про особливості правового регулювання відповідних відносин на перехідний період, пов’язаних із трирічним набранням чинності деяких положень </w:t>
      </w:r>
      <w:r w:rsidR="00BC5CC0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C56064" w:rsidRPr="007D2236">
        <w:rPr>
          <w:rFonts w:ascii="Times New Roman" w:hAnsi="Times New Roman" w:cs="Times New Roman"/>
          <w:sz w:val="28"/>
          <w:szCs w:val="28"/>
        </w:rPr>
        <w:t>Закону (п. 1 розділу II проекту</w:t>
      </w:r>
      <w:r w:rsidR="00C5606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F8E2ED6" w14:textId="77777777" w:rsidR="00847340" w:rsidRPr="00DF6375" w:rsidRDefault="00847340" w:rsidP="00AD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цього приводу зауважимо, що </w:t>
      </w:r>
      <w:r w:rsidRPr="00DF6375">
        <w:rPr>
          <w:rFonts w:ascii="Times New Roman" w:hAnsi="Times New Roman" w:cs="Times New Roman"/>
          <w:sz w:val="28"/>
          <w:szCs w:val="28"/>
        </w:rPr>
        <w:t>відповідно до вимог законодавчої техніки п</w:t>
      </w:r>
      <w:r w:rsidRPr="00DF6375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ерехідні положення не можуть міститися у законопроектах про внесення змін до інших законів. У разі необхідності врегулювання питань, що мають вирішуватися у перехідних положеннях, відповідні зміни повинні вноситися до основного закону (законів).</w:t>
      </w:r>
    </w:p>
    <w:p w14:paraId="0CA7B43E" w14:textId="68ED75FB" w:rsidR="00C56064" w:rsidRDefault="00C56064" w:rsidP="00AD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Відтак </w:t>
      </w:r>
      <w:r w:rsidR="00F078F3">
        <w:rPr>
          <w:rFonts w:ascii="Times New Roman" w:hAnsi="Times New Roman" w:cs="Times New Roman"/>
          <w:sz w:val="28"/>
          <w:szCs w:val="28"/>
        </w:rPr>
        <w:t xml:space="preserve">вказані </w:t>
      </w:r>
      <w:r w:rsidR="00847340">
        <w:rPr>
          <w:rFonts w:ascii="Times New Roman" w:hAnsi="Times New Roman" w:cs="Times New Roman"/>
          <w:sz w:val="28"/>
          <w:szCs w:val="28"/>
        </w:rPr>
        <w:t xml:space="preserve">у проекті </w:t>
      </w:r>
      <w:r w:rsidRPr="007D2236">
        <w:rPr>
          <w:rFonts w:ascii="Times New Roman" w:hAnsi="Times New Roman" w:cs="Times New Roman"/>
          <w:sz w:val="28"/>
          <w:szCs w:val="28"/>
        </w:rPr>
        <w:t>зміни слід вміщувати</w:t>
      </w:r>
      <w:r>
        <w:rPr>
          <w:rFonts w:ascii="Times New Roman" w:hAnsi="Times New Roman" w:cs="Times New Roman"/>
          <w:sz w:val="28"/>
          <w:szCs w:val="28"/>
        </w:rPr>
        <w:t xml:space="preserve"> не у прикінцевих та перехідних положеннях проекту, що розглядається, а </w:t>
      </w:r>
      <w:r w:rsidRPr="007D2236">
        <w:rPr>
          <w:rFonts w:ascii="Times New Roman" w:hAnsi="Times New Roman" w:cs="Times New Roman"/>
          <w:sz w:val="28"/>
          <w:szCs w:val="28"/>
        </w:rPr>
        <w:t xml:space="preserve">у перехідних положеннях </w:t>
      </w:r>
      <w:r>
        <w:rPr>
          <w:rFonts w:ascii="Times New Roman" w:hAnsi="Times New Roman" w:cs="Times New Roman"/>
          <w:sz w:val="28"/>
          <w:szCs w:val="28"/>
        </w:rPr>
        <w:t>Закону України «Про банки і банківську діяльність».</w:t>
      </w:r>
    </w:p>
    <w:p w14:paraId="18BA629A" w14:textId="77777777" w:rsidR="00C56064" w:rsidRPr="007D2236" w:rsidRDefault="00847340" w:rsidP="00AD78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Принагідно </w:t>
      </w:r>
      <w:r w:rsidR="00C56064" w:rsidRPr="007D2236">
        <w:rPr>
          <w:rFonts w:ascii="Times New Roman" w:hAnsi="Times New Roman" w:cs="Times New Roman"/>
          <w:sz w:val="28"/>
          <w:szCs w:val="28"/>
        </w:rPr>
        <w:t>зауважимо, що</w:t>
      </w:r>
      <w:r w:rsidR="00C56064">
        <w:rPr>
          <w:rFonts w:ascii="Times New Roman" w:hAnsi="Times New Roman" w:cs="Times New Roman"/>
          <w:sz w:val="28"/>
          <w:szCs w:val="28"/>
        </w:rPr>
        <w:t>,</w:t>
      </w:r>
      <w:r w:rsidR="00C56064" w:rsidRPr="007D2236">
        <w:rPr>
          <w:rFonts w:ascii="Times New Roman" w:hAnsi="Times New Roman" w:cs="Times New Roman"/>
          <w:sz w:val="28"/>
          <w:szCs w:val="28"/>
        </w:rPr>
        <w:t xml:space="preserve"> з метою дотримання єдиного підходу до викладення нормативних положень, виглядає доцільним застосування однакової назви ст. 35 Закону </w:t>
      </w:r>
      <w:r w:rsidR="004F45A4">
        <w:rPr>
          <w:rFonts w:ascii="Times New Roman" w:hAnsi="Times New Roman" w:cs="Times New Roman"/>
          <w:sz w:val="28"/>
          <w:szCs w:val="28"/>
        </w:rPr>
        <w:t xml:space="preserve">України «Про банки і банківську діяльність» </w:t>
      </w:r>
      <w:r w:rsidR="00C56064" w:rsidRPr="007D2236">
        <w:rPr>
          <w:rFonts w:ascii="Times New Roman" w:hAnsi="Times New Roman" w:cs="Times New Roman"/>
          <w:sz w:val="28"/>
          <w:szCs w:val="28"/>
        </w:rPr>
        <w:t xml:space="preserve">у </w:t>
      </w:r>
      <w:r w:rsidR="00893E73" w:rsidRPr="007D2236">
        <w:rPr>
          <w:rFonts w:ascii="Times New Roman" w:hAnsi="Times New Roman" w:cs="Times New Roman"/>
          <w:sz w:val="28"/>
          <w:szCs w:val="28"/>
        </w:rPr>
        <w:t>розділ</w:t>
      </w:r>
      <w:r w:rsidR="00893E73">
        <w:rPr>
          <w:rFonts w:ascii="Times New Roman" w:hAnsi="Times New Roman" w:cs="Times New Roman"/>
          <w:sz w:val="28"/>
          <w:szCs w:val="28"/>
        </w:rPr>
        <w:t xml:space="preserve">ах </w:t>
      </w:r>
      <w:r w:rsidR="00893E73" w:rsidRPr="007D2236">
        <w:rPr>
          <w:rFonts w:ascii="Times New Roman" w:hAnsi="Times New Roman" w:cs="Times New Roman"/>
          <w:sz w:val="28"/>
          <w:szCs w:val="28"/>
        </w:rPr>
        <w:t xml:space="preserve">І </w:t>
      </w:r>
      <w:r w:rsidR="00893E73">
        <w:rPr>
          <w:rFonts w:ascii="Times New Roman" w:hAnsi="Times New Roman" w:cs="Times New Roman"/>
          <w:sz w:val="28"/>
          <w:szCs w:val="28"/>
        </w:rPr>
        <w:t xml:space="preserve">та </w:t>
      </w:r>
      <w:r w:rsidR="00C56064" w:rsidRPr="007D2236">
        <w:rPr>
          <w:rFonts w:ascii="Times New Roman" w:hAnsi="Times New Roman" w:cs="Times New Roman"/>
          <w:sz w:val="28"/>
          <w:szCs w:val="28"/>
        </w:rPr>
        <w:t>ІІ</w:t>
      </w:r>
      <w:r w:rsidR="00893E73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C56064" w:rsidRPr="007D22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656AA3" w14:textId="77777777" w:rsidR="00DD3FAA" w:rsidRPr="007D2236" w:rsidRDefault="00BF1BD8" w:rsidP="00AD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b/>
          <w:sz w:val="28"/>
          <w:szCs w:val="28"/>
        </w:rPr>
        <w:t>5</w:t>
      </w:r>
      <w:r w:rsidR="00DD3FAA" w:rsidRPr="00DD3FAA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. </w:t>
      </w:r>
      <w:r w:rsidR="00DD3FAA" w:rsidRPr="007D2236">
        <w:rPr>
          <w:rFonts w:ascii="Times New Roman" w:hAnsi="Times New Roman" w:cs="Times New Roman"/>
          <w:sz w:val="28"/>
          <w:szCs w:val="28"/>
        </w:rPr>
        <w:t>Оскільки відповідно до ст. 55 Закону України «Про банки і банківську діяльність» головною метою банківського регулювання і нагляду з боку Національного банку України є безпека та фінансова стабільність банківської системи, для прийняття виваженого рішення щодо проекту доцільно отримати експертний висновок Національного банку України.</w:t>
      </w:r>
    </w:p>
    <w:p w14:paraId="4EC3A739" w14:textId="77777777" w:rsidR="00A81031" w:rsidRDefault="00A81031" w:rsidP="00731BA7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14:paraId="4119248A" w14:textId="77777777" w:rsidR="00731BA7" w:rsidRPr="00582BB1" w:rsidRDefault="00731BA7" w:rsidP="00731BA7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14:paraId="42F30BA6" w14:textId="5ADA061E" w:rsidR="002D07CF" w:rsidRPr="007D2236" w:rsidRDefault="002D07CF" w:rsidP="00AD7825">
      <w:pPr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 Головного управління                                   </w:t>
      </w:r>
      <w:r w:rsidR="002B1B4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           </w:t>
      </w:r>
      <w:r w:rsidRPr="007D2236">
        <w:rPr>
          <w:rFonts w:ascii="Times New Roman" w:eastAsia="Times New Roman" w:hAnsi="Times New Roman" w:cs="Times New Roman"/>
          <w:sz w:val="28"/>
          <w:szCs w:val="28"/>
          <w:lang w:eastAsia="uk-UA"/>
        </w:rPr>
        <w:t>С. Тихонюк</w:t>
      </w:r>
    </w:p>
    <w:p w14:paraId="52DE9C25" w14:textId="73D679A3" w:rsidR="00731BA7" w:rsidRDefault="00731BA7" w:rsidP="00AD7825">
      <w:pPr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545A6" w14:textId="77777777" w:rsidR="006913A3" w:rsidRDefault="006913A3" w:rsidP="00AD7825">
      <w:pPr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9A046" w14:textId="70C66873" w:rsidR="000D1759" w:rsidRPr="00A07483" w:rsidRDefault="002D07CF" w:rsidP="00A07483">
      <w:pPr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2236">
        <w:rPr>
          <w:rFonts w:ascii="Times New Roman" w:hAnsi="Times New Roman" w:cs="Times New Roman"/>
          <w:sz w:val="20"/>
          <w:szCs w:val="20"/>
        </w:rPr>
        <w:t>Вик.: І. Крегул, Я. Бережний, Є. Гришко</w:t>
      </w:r>
      <w:r>
        <w:rPr>
          <w:rFonts w:ascii="Times New Roman" w:hAnsi="Times New Roman" w:cs="Times New Roman"/>
          <w:sz w:val="20"/>
          <w:szCs w:val="20"/>
        </w:rPr>
        <w:t>, Е. Вальковський</w:t>
      </w:r>
    </w:p>
    <w:sectPr w:rsidR="000D1759" w:rsidRPr="00A07483" w:rsidSect="00731BA7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685D1" w14:textId="77777777" w:rsidR="006A446B" w:rsidRDefault="006A446B" w:rsidP="00095052">
      <w:pPr>
        <w:spacing w:after="0" w:line="240" w:lineRule="auto"/>
      </w:pPr>
      <w:r>
        <w:separator/>
      </w:r>
    </w:p>
  </w:endnote>
  <w:endnote w:type="continuationSeparator" w:id="0">
    <w:p w14:paraId="1AEC8270" w14:textId="77777777" w:rsidR="006A446B" w:rsidRDefault="006A446B" w:rsidP="0009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E687F" w14:textId="77777777" w:rsidR="006A446B" w:rsidRDefault="006A446B" w:rsidP="00095052">
      <w:pPr>
        <w:spacing w:after="0" w:line="240" w:lineRule="auto"/>
      </w:pPr>
      <w:r>
        <w:separator/>
      </w:r>
    </w:p>
  </w:footnote>
  <w:footnote w:type="continuationSeparator" w:id="0">
    <w:p w14:paraId="53EE8E3A" w14:textId="77777777" w:rsidR="006A446B" w:rsidRDefault="006A446B" w:rsidP="0009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A113" w14:textId="77777777" w:rsidR="000F0BD8" w:rsidRDefault="0004369E" w:rsidP="00E639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0B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BD8">
      <w:rPr>
        <w:rStyle w:val="a5"/>
        <w:noProof/>
      </w:rPr>
      <w:t>9</w:t>
    </w:r>
    <w:r>
      <w:rPr>
        <w:rStyle w:val="a5"/>
      </w:rPr>
      <w:fldChar w:fldCharType="end"/>
    </w:r>
  </w:p>
  <w:p w14:paraId="14BE3896" w14:textId="77777777" w:rsidR="000F0BD8" w:rsidRDefault="000F0BD8" w:rsidP="00E6391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0FE06" w14:textId="0336B0BB" w:rsidR="000F0BD8" w:rsidRDefault="0004369E" w:rsidP="00E639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0B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A3B">
      <w:rPr>
        <w:rStyle w:val="a5"/>
        <w:noProof/>
      </w:rPr>
      <w:t>2</w:t>
    </w:r>
    <w:r>
      <w:rPr>
        <w:rStyle w:val="a5"/>
      </w:rPr>
      <w:fldChar w:fldCharType="end"/>
    </w:r>
  </w:p>
  <w:p w14:paraId="083DFC22" w14:textId="77777777" w:rsidR="000F0BD8" w:rsidRDefault="000F0BD8" w:rsidP="00E6391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5E3B" w14:textId="77777777" w:rsidR="000F0BD8" w:rsidRPr="00B50F68" w:rsidRDefault="000F0BD8" w:rsidP="00F334F9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ru-RU"/>
      </w:rPr>
    </w:pPr>
    <w:r w:rsidRPr="00B50F68">
      <w:rPr>
        <w:rFonts w:ascii="Times New Roman" w:hAnsi="Times New Roman" w:cs="Times New Roman"/>
        <w:sz w:val="20"/>
        <w:szCs w:val="20"/>
      </w:rPr>
      <w:t xml:space="preserve">До реєстр. № </w:t>
    </w:r>
    <w:r w:rsidRPr="00B50F68">
      <w:rPr>
        <w:rFonts w:ascii="Times New Roman" w:hAnsi="Times New Roman" w:cs="Times New Roman"/>
        <w:sz w:val="20"/>
        <w:szCs w:val="20"/>
        <w:lang w:val="ru-RU"/>
      </w:rPr>
      <w:t>4367</w:t>
    </w:r>
    <w:r w:rsidRPr="00B50F68">
      <w:rPr>
        <w:rFonts w:ascii="Times New Roman" w:hAnsi="Times New Roman" w:cs="Times New Roman"/>
        <w:sz w:val="20"/>
        <w:szCs w:val="20"/>
      </w:rPr>
      <w:t xml:space="preserve"> від </w:t>
    </w:r>
    <w:r w:rsidRPr="00B50F68">
      <w:rPr>
        <w:rFonts w:ascii="Times New Roman" w:hAnsi="Times New Roman" w:cs="Times New Roman"/>
        <w:sz w:val="20"/>
        <w:szCs w:val="20"/>
        <w:lang w:val="ru-RU"/>
      </w:rPr>
      <w:t>12</w:t>
    </w:r>
    <w:r w:rsidRPr="00B50F68">
      <w:rPr>
        <w:rFonts w:ascii="Times New Roman" w:hAnsi="Times New Roman" w:cs="Times New Roman"/>
        <w:sz w:val="20"/>
        <w:szCs w:val="20"/>
      </w:rPr>
      <w:t>.</w:t>
    </w:r>
    <w:r w:rsidRPr="00B50F68">
      <w:rPr>
        <w:rFonts w:ascii="Times New Roman" w:hAnsi="Times New Roman" w:cs="Times New Roman"/>
        <w:sz w:val="20"/>
        <w:szCs w:val="20"/>
        <w:lang w:val="ru-RU"/>
      </w:rPr>
      <w:t>11</w:t>
    </w:r>
    <w:r w:rsidRPr="00B50F68">
      <w:rPr>
        <w:rFonts w:ascii="Times New Roman" w:hAnsi="Times New Roman" w:cs="Times New Roman"/>
        <w:sz w:val="20"/>
        <w:szCs w:val="20"/>
      </w:rPr>
      <w:t>.20</w:t>
    </w:r>
    <w:r w:rsidRPr="00B50F68">
      <w:rPr>
        <w:rFonts w:ascii="Times New Roman" w:hAnsi="Times New Roman" w:cs="Times New Roman"/>
        <w:sz w:val="20"/>
        <w:szCs w:val="20"/>
        <w:lang w:val="ru-RU"/>
      </w:rPr>
      <w:t>20</w:t>
    </w:r>
  </w:p>
  <w:p w14:paraId="72DCE6EE" w14:textId="77777777" w:rsidR="000F0BD8" w:rsidRPr="00B50F68" w:rsidRDefault="000F0BD8" w:rsidP="00F334F9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B50F68">
      <w:rPr>
        <w:rFonts w:ascii="Times New Roman" w:hAnsi="Times New Roman" w:cs="Times New Roman"/>
        <w:sz w:val="20"/>
        <w:szCs w:val="20"/>
      </w:rPr>
      <w:t>Народні депутати України</w:t>
    </w:r>
  </w:p>
  <w:p w14:paraId="1F942F13" w14:textId="77777777" w:rsidR="000F0BD8" w:rsidRPr="00B50F68" w:rsidRDefault="000F0BD8" w:rsidP="00F334F9">
    <w:pPr>
      <w:pStyle w:val="2"/>
      <w:spacing w:before="0" w:line="240" w:lineRule="auto"/>
      <w:jc w:val="right"/>
      <w:rPr>
        <w:rFonts w:ascii="Times New Roman" w:hAnsi="Times New Roman" w:cs="Times New Roman"/>
        <w:color w:val="auto"/>
        <w:sz w:val="20"/>
        <w:szCs w:val="20"/>
      </w:rPr>
    </w:pPr>
    <w:r w:rsidRPr="00B50F68">
      <w:rPr>
        <w:rFonts w:ascii="Times New Roman" w:hAnsi="Times New Roman" w:cs="Times New Roman"/>
        <w:color w:val="auto"/>
        <w:sz w:val="20"/>
        <w:szCs w:val="20"/>
      </w:rPr>
      <w:t>Д. Гетманцев, В. Кінзбурська,</w:t>
    </w:r>
    <w:r w:rsidR="007D2236">
      <w:rPr>
        <w:rFonts w:ascii="Times New Roman" w:hAnsi="Times New Roman" w:cs="Times New Roman"/>
        <w:color w:val="auto"/>
        <w:sz w:val="20"/>
        <w:szCs w:val="20"/>
        <w:lang w:val="ru-RU"/>
      </w:rPr>
      <w:t xml:space="preserve"> </w:t>
    </w:r>
    <w:r w:rsidRPr="00B50F68">
      <w:rPr>
        <w:rFonts w:ascii="Times New Roman" w:hAnsi="Times New Roman" w:cs="Times New Roman"/>
        <w:color w:val="auto"/>
        <w:sz w:val="20"/>
        <w:szCs w:val="20"/>
      </w:rPr>
      <w:t>О. Ковальов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12651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33AEF"/>
    <w:multiLevelType w:val="hybridMultilevel"/>
    <w:tmpl w:val="A508A252"/>
    <w:lvl w:ilvl="0" w:tplc="0A363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40E59"/>
    <w:multiLevelType w:val="hybridMultilevel"/>
    <w:tmpl w:val="70EEC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2A5EDE"/>
    <w:multiLevelType w:val="hybridMultilevel"/>
    <w:tmpl w:val="1318E370"/>
    <w:lvl w:ilvl="0" w:tplc="8D5A572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C25E35"/>
    <w:multiLevelType w:val="hybridMultilevel"/>
    <w:tmpl w:val="C1CAFD44"/>
    <w:lvl w:ilvl="0" w:tplc="C2942F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A6709C"/>
    <w:multiLevelType w:val="hybridMultilevel"/>
    <w:tmpl w:val="D45C597C"/>
    <w:lvl w:ilvl="0" w:tplc="70527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437C26"/>
    <w:multiLevelType w:val="hybridMultilevel"/>
    <w:tmpl w:val="01B2556A"/>
    <w:lvl w:ilvl="0" w:tplc="38D4AF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959D6"/>
    <w:multiLevelType w:val="multilevel"/>
    <w:tmpl w:val="3C6679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HAnsi"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cs="Times New Roman" w:hint="default"/>
        <w:b w:val="0"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52"/>
    <w:rsid w:val="00010B86"/>
    <w:rsid w:val="00011125"/>
    <w:rsid w:val="00023D6E"/>
    <w:rsid w:val="000321EC"/>
    <w:rsid w:val="0004369E"/>
    <w:rsid w:val="00043C8B"/>
    <w:rsid w:val="00044AC6"/>
    <w:rsid w:val="00047883"/>
    <w:rsid w:val="00051BAA"/>
    <w:rsid w:val="000551EA"/>
    <w:rsid w:val="00055C72"/>
    <w:rsid w:val="00064C6F"/>
    <w:rsid w:val="00065242"/>
    <w:rsid w:val="0007131F"/>
    <w:rsid w:val="00072002"/>
    <w:rsid w:val="000737D4"/>
    <w:rsid w:val="000745E9"/>
    <w:rsid w:val="000816E5"/>
    <w:rsid w:val="00086E7C"/>
    <w:rsid w:val="00090D50"/>
    <w:rsid w:val="00095052"/>
    <w:rsid w:val="00097298"/>
    <w:rsid w:val="000A067C"/>
    <w:rsid w:val="000A1550"/>
    <w:rsid w:val="000A543B"/>
    <w:rsid w:val="000A5C7F"/>
    <w:rsid w:val="000B284E"/>
    <w:rsid w:val="000B483E"/>
    <w:rsid w:val="000B7C8D"/>
    <w:rsid w:val="000C4844"/>
    <w:rsid w:val="000C5E70"/>
    <w:rsid w:val="000D1759"/>
    <w:rsid w:val="000D4D19"/>
    <w:rsid w:val="000F016B"/>
    <w:rsid w:val="000F0BD8"/>
    <w:rsid w:val="000F1C7E"/>
    <w:rsid w:val="000F7D56"/>
    <w:rsid w:val="00100BC7"/>
    <w:rsid w:val="001022DD"/>
    <w:rsid w:val="00102466"/>
    <w:rsid w:val="00116D58"/>
    <w:rsid w:val="0012380E"/>
    <w:rsid w:val="00124914"/>
    <w:rsid w:val="00144D25"/>
    <w:rsid w:val="00156705"/>
    <w:rsid w:val="00160F1E"/>
    <w:rsid w:val="0016587B"/>
    <w:rsid w:val="0018212A"/>
    <w:rsid w:val="00182B43"/>
    <w:rsid w:val="00187C32"/>
    <w:rsid w:val="001A02D6"/>
    <w:rsid w:val="001A0B57"/>
    <w:rsid w:val="001A6885"/>
    <w:rsid w:val="001A6B37"/>
    <w:rsid w:val="001A7129"/>
    <w:rsid w:val="001B0436"/>
    <w:rsid w:val="001B5654"/>
    <w:rsid w:val="001C18AD"/>
    <w:rsid w:val="001C18F2"/>
    <w:rsid w:val="001D59C9"/>
    <w:rsid w:val="001D7312"/>
    <w:rsid w:val="001F472F"/>
    <w:rsid w:val="00220153"/>
    <w:rsid w:val="002204D2"/>
    <w:rsid w:val="00224C41"/>
    <w:rsid w:val="00226BBB"/>
    <w:rsid w:val="0023298F"/>
    <w:rsid w:val="00237F70"/>
    <w:rsid w:val="00245EE6"/>
    <w:rsid w:val="00250DCF"/>
    <w:rsid w:val="00267E08"/>
    <w:rsid w:val="00277717"/>
    <w:rsid w:val="00281671"/>
    <w:rsid w:val="00292724"/>
    <w:rsid w:val="00292909"/>
    <w:rsid w:val="00293DF3"/>
    <w:rsid w:val="002A55E8"/>
    <w:rsid w:val="002B0F18"/>
    <w:rsid w:val="002B1B47"/>
    <w:rsid w:val="002B78AB"/>
    <w:rsid w:val="002C4A3B"/>
    <w:rsid w:val="002D07CF"/>
    <w:rsid w:val="002D5895"/>
    <w:rsid w:val="002F41BE"/>
    <w:rsid w:val="00316DCC"/>
    <w:rsid w:val="0031743F"/>
    <w:rsid w:val="00323AB2"/>
    <w:rsid w:val="00333703"/>
    <w:rsid w:val="003436AF"/>
    <w:rsid w:val="003463F0"/>
    <w:rsid w:val="00365988"/>
    <w:rsid w:val="0038145A"/>
    <w:rsid w:val="00385A5F"/>
    <w:rsid w:val="00391FAC"/>
    <w:rsid w:val="00392572"/>
    <w:rsid w:val="00395927"/>
    <w:rsid w:val="00397A49"/>
    <w:rsid w:val="003A39F6"/>
    <w:rsid w:val="003A45B9"/>
    <w:rsid w:val="003B44BC"/>
    <w:rsid w:val="003B5111"/>
    <w:rsid w:val="003B531D"/>
    <w:rsid w:val="003B61EB"/>
    <w:rsid w:val="003C22E0"/>
    <w:rsid w:val="003C2433"/>
    <w:rsid w:val="003C590F"/>
    <w:rsid w:val="003D4DEA"/>
    <w:rsid w:val="003E1F6C"/>
    <w:rsid w:val="003E6B61"/>
    <w:rsid w:val="003F24C5"/>
    <w:rsid w:val="003F655A"/>
    <w:rsid w:val="003F76A4"/>
    <w:rsid w:val="00404075"/>
    <w:rsid w:val="00407F02"/>
    <w:rsid w:val="0041105E"/>
    <w:rsid w:val="00411925"/>
    <w:rsid w:val="00421D84"/>
    <w:rsid w:val="00422E8A"/>
    <w:rsid w:val="00424416"/>
    <w:rsid w:val="0042500A"/>
    <w:rsid w:val="004254DE"/>
    <w:rsid w:val="004370A2"/>
    <w:rsid w:val="00450360"/>
    <w:rsid w:val="00453461"/>
    <w:rsid w:val="004538CC"/>
    <w:rsid w:val="00453FED"/>
    <w:rsid w:val="0045502A"/>
    <w:rsid w:val="0046790C"/>
    <w:rsid w:val="00475F5C"/>
    <w:rsid w:val="00496635"/>
    <w:rsid w:val="00496657"/>
    <w:rsid w:val="004A4BC4"/>
    <w:rsid w:val="004B145B"/>
    <w:rsid w:val="004B152D"/>
    <w:rsid w:val="004C1E45"/>
    <w:rsid w:val="004D371E"/>
    <w:rsid w:val="004E2B95"/>
    <w:rsid w:val="004F45A4"/>
    <w:rsid w:val="00500F23"/>
    <w:rsid w:val="005159E3"/>
    <w:rsid w:val="00527C1A"/>
    <w:rsid w:val="005313F0"/>
    <w:rsid w:val="00546926"/>
    <w:rsid w:val="00563123"/>
    <w:rsid w:val="0058065B"/>
    <w:rsid w:val="00582A68"/>
    <w:rsid w:val="00582BB1"/>
    <w:rsid w:val="00585E4E"/>
    <w:rsid w:val="005861D0"/>
    <w:rsid w:val="00587C9A"/>
    <w:rsid w:val="00596FE7"/>
    <w:rsid w:val="00597463"/>
    <w:rsid w:val="005B40DB"/>
    <w:rsid w:val="005B7EA0"/>
    <w:rsid w:val="005C2A07"/>
    <w:rsid w:val="005C5839"/>
    <w:rsid w:val="005D3DA2"/>
    <w:rsid w:val="005E1D93"/>
    <w:rsid w:val="005E611B"/>
    <w:rsid w:val="005F1084"/>
    <w:rsid w:val="005F2ACC"/>
    <w:rsid w:val="005F4C15"/>
    <w:rsid w:val="006022EB"/>
    <w:rsid w:val="006054F3"/>
    <w:rsid w:val="006061AE"/>
    <w:rsid w:val="006165C1"/>
    <w:rsid w:val="00624715"/>
    <w:rsid w:val="00631533"/>
    <w:rsid w:val="006431A1"/>
    <w:rsid w:val="00645F42"/>
    <w:rsid w:val="00646A38"/>
    <w:rsid w:val="00654291"/>
    <w:rsid w:val="00666ADE"/>
    <w:rsid w:val="006727BD"/>
    <w:rsid w:val="006806FF"/>
    <w:rsid w:val="00683188"/>
    <w:rsid w:val="00686369"/>
    <w:rsid w:val="006913A3"/>
    <w:rsid w:val="00692687"/>
    <w:rsid w:val="0069311D"/>
    <w:rsid w:val="006933E6"/>
    <w:rsid w:val="006A1F10"/>
    <w:rsid w:val="006A2B5E"/>
    <w:rsid w:val="006A3780"/>
    <w:rsid w:val="006A446B"/>
    <w:rsid w:val="006B0C68"/>
    <w:rsid w:val="006B2290"/>
    <w:rsid w:val="006B59EA"/>
    <w:rsid w:val="006C3597"/>
    <w:rsid w:val="006D7347"/>
    <w:rsid w:val="006F0D20"/>
    <w:rsid w:val="006F27F6"/>
    <w:rsid w:val="00712B04"/>
    <w:rsid w:val="00715684"/>
    <w:rsid w:val="00721C10"/>
    <w:rsid w:val="00724A59"/>
    <w:rsid w:val="007277B2"/>
    <w:rsid w:val="00731BA7"/>
    <w:rsid w:val="00733595"/>
    <w:rsid w:val="00734978"/>
    <w:rsid w:val="00737FB4"/>
    <w:rsid w:val="007457C5"/>
    <w:rsid w:val="007550EB"/>
    <w:rsid w:val="007626A1"/>
    <w:rsid w:val="0076295A"/>
    <w:rsid w:val="0077066D"/>
    <w:rsid w:val="00772AAC"/>
    <w:rsid w:val="007751F7"/>
    <w:rsid w:val="00786D52"/>
    <w:rsid w:val="00797F8E"/>
    <w:rsid w:val="007A438F"/>
    <w:rsid w:val="007A7713"/>
    <w:rsid w:val="007B2DA8"/>
    <w:rsid w:val="007C7230"/>
    <w:rsid w:val="007D2236"/>
    <w:rsid w:val="007D6045"/>
    <w:rsid w:val="007E1DF4"/>
    <w:rsid w:val="007E3829"/>
    <w:rsid w:val="007E7966"/>
    <w:rsid w:val="007F1DF4"/>
    <w:rsid w:val="007F2B3C"/>
    <w:rsid w:val="007F6420"/>
    <w:rsid w:val="008048BF"/>
    <w:rsid w:val="00812159"/>
    <w:rsid w:val="0083263A"/>
    <w:rsid w:val="0083504D"/>
    <w:rsid w:val="00836D1F"/>
    <w:rsid w:val="008404D9"/>
    <w:rsid w:val="00847340"/>
    <w:rsid w:val="00847EB0"/>
    <w:rsid w:val="008524AC"/>
    <w:rsid w:val="00876098"/>
    <w:rsid w:val="00893E73"/>
    <w:rsid w:val="00895ABF"/>
    <w:rsid w:val="00896C98"/>
    <w:rsid w:val="008973BB"/>
    <w:rsid w:val="008A284A"/>
    <w:rsid w:val="008A28AA"/>
    <w:rsid w:val="008D418A"/>
    <w:rsid w:val="008F45A5"/>
    <w:rsid w:val="00901098"/>
    <w:rsid w:val="00902566"/>
    <w:rsid w:val="009026F1"/>
    <w:rsid w:val="00910718"/>
    <w:rsid w:val="00910D54"/>
    <w:rsid w:val="00924109"/>
    <w:rsid w:val="00935F57"/>
    <w:rsid w:val="00944396"/>
    <w:rsid w:val="00944AA3"/>
    <w:rsid w:val="009527D6"/>
    <w:rsid w:val="00952CE5"/>
    <w:rsid w:val="00952F7B"/>
    <w:rsid w:val="00955C63"/>
    <w:rsid w:val="00960010"/>
    <w:rsid w:val="0098002E"/>
    <w:rsid w:val="009A1262"/>
    <w:rsid w:val="009A22C9"/>
    <w:rsid w:val="009B0929"/>
    <w:rsid w:val="009B7523"/>
    <w:rsid w:val="009D3DFF"/>
    <w:rsid w:val="009D5C38"/>
    <w:rsid w:val="009E732E"/>
    <w:rsid w:val="009E7816"/>
    <w:rsid w:val="009F0530"/>
    <w:rsid w:val="009F0AD7"/>
    <w:rsid w:val="009F15A0"/>
    <w:rsid w:val="009F4D97"/>
    <w:rsid w:val="009F596C"/>
    <w:rsid w:val="00A0181D"/>
    <w:rsid w:val="00A07483"/>
    <w:rsid w:val="00A129F3"/>
    <w:rsid w:val="00A2028B"/>
    <w:rsid w:val="00A2089E"/>
    <w:rsid w:val="00A232D8"/>
    <w:rsid w:val="00A274AA"/>
    <w:rsid w:val="00A30514"/>
    <w:rsid w:val="00A41350"/>
    <w:rsid w:val="00A50C48"/>
    <w:rsid w:val="00A5392A"/>
    <w:rsid w:val="00A54188"/>
    <w:rsid w:val="00A81031"/>
    <w:rsid w:val="00A84A71"/>
    <w:rsid w:val="00A85D0D"/>
    <w:rsid w:val="00A94CBB"/>
    <w:rsid w:val="00A9765D"/>
    <w:rsid w:val="00AA4A64"/>
    <w:rsid w:val="00AB3A75"/>
    <w:rsid w:val="00AC2A00"/>
    <w:rsid w:val="00AC5B84"/>
    <w:rsid w:val="00AD1EEF"/>
    <w:rsid w:val="00AD429A"/>
    <w:rsid w:val="00AD750C"/>
    <w:rsid w:val="00AD7825"/>
    <w:rsid w:val="00AE1DCB"/>
    <w:rsid w:val="00AE1FCC"/>
    <w:rsid w:val="00AF4A58"/>
    <w:rsid w:val="00AF5D01"/>
    <w:rsid w:val="00AF68B0"/>
    <w:rsid w:val="00B10A14"/>
    <w:rsid w:val="00B169E6"/>
    <w:rsid w:val="00B326EF"/>
    <w:rsid w:val="00B34387"/>
    <w:rsid w:val="00B36D0E"/>
    <w:rsid w:val="00B50F68"/>
    <w:rsid w:val="00B5325F"/>
    <w:rsid w:val="00B56773"/>
    <w:rsid w:val="00B65885"/>
    <w:rsid w:val="00B74A08"/>
    <w:rsid w:val="00B75945"/>
    <w:rsid w:val="00B846A1"/>
    <w:rsid w:val="00B949F1"/>
    <w:rsid w:val="00BA01E8"/>
    <w:rsid w:val="00BA149A"/>
    <w:rsid w:val="00BA2A9A"/>
    <w:rsid w:val="00BA6CA1"/>
    <w:rsid w:val="00BC5838"/>
    <w:rsid w:val="00BC5CC0"/>
    <w:rsid w:val="00BC606C"/>
    <w:rsid w:val="00BC7546"/>
    <w:rsid w:val="00BD6441"/>
    <w:rsid w:val="00BE7D9F"/>
    <w:rsid w:val="00BF1BD8"/>
    <w:rsid w:val="00BF2652"/>
    <w:rsid w:val="00C01E4F"/>
    <w:rsid w:val="00C0350D"/>
    <w:rsid w:val="00C04364"/>
    <w:rsid w:val="00C06CF2"/>
    <w:rsid w:val="00C10240"/>
    <w:rsid w:val="00C2081C"/>
    <w:rsid w:val="00C20AFF"/>
    <w:rsid w:val="00C26B02"/>
    <w:rsid w:val="00C405E1"/>
    <w:rsid w:val="00C53BB5"/>
    <w:rsid w:val="00C56064"/>
    <w:rsid w:val="00C63D6C"/>
    <w:rsid w:val="00C67936"/>
    <w:rsid w:val="00C74A29"/>
    <w:rsid w:val="00C74DC6"/>
    <w:rsid w:val="00C92C89"/>
    <w:rsid w:val="00C93989"/>
    <w:rsid w:val="00CA2AF0"/>
    <w:rsid w:val="00CC5138"/>
    <w:rsid w:val="00CD3A72"/>
    <w:rsid w:val="00CD422E"/>
    <w:rsid w:val="00CD56EA"/>
    <w:rsid w:val="00CD647A"/>
    <w:rsid w:val="00CF4B51"/>
    <w:rsid w:val="00CF6BFF"/>
    <w:rsid w:val="00D10C24"/>
    <w:rsid w:val="00D13CDB"/>
    <w:rsid w:val="00D2345C"/>
    <w:rsid w:val="00D411A3"/>
    <w:rsid w:val="00D56DE2"/>
    <w:rsid w:val="00D6055F"/>
    <w:rsid w:val="00D71437"/>
    <w:rsid w:val="00D735AA"/>
    <w:rsid w:val="00D8045A"/>
    <w:rsid w:val="00DA490C"/>
    <w:rsid w:val="00DA68B3"/>
    <w:rsid w:val="00DA788A"/>
    <w:rsid w:val="00DB733B"/>
    <w:rsid w:val="00DC271E"/>
    <w:rsid w:val="00DD3FAA"/>
    <w:rsid w:val="00DD5FAF"/>
    <w:rsid w:val="00DE06B3"/>
    <w:rsid w:val="00DF6375"/>
    <w:rsid w:val="00DF7007"/>
    <w:rsid w:val="00E00D6B"/>
    <w:rsid w:val="00E0302E"/>
    <w:rsid w:val="00E12A10"/>
    <w:rsid w:val="00E15AE3"/>
    <w:rsid w:val="00E24EBF"/>
    <w:rsid w:val="00E25270"/>
    <w:rsid w:val="00E26BA6"/>
    <w:rsid w:val="00E305B8"/>
    <w:rsid w:val="00E3104F"/>
    <w:rsid w:val="00E3183C"/>
    <w:rsid w:val="00E63910"/>
    <w:rsid w:val="00E64EEA"/>
    <w:rsid w:val="00E70C10"/>
    <w:rsid w:val="00E76C31"/>
    <w:rsid w:val="00E77984"/>
    <w:rsid w:val="00E97935"/>
    <w:rsid w:val="00EA4BCA"/>
    <w:rsid w:val="00EA6E4A"/>
    <w:rsid w:val="00EB1521"/>
    <w:rsid w:val="00EB16F0"/>
    <w:rsid w:val="00EB36A4"/>
    <w:rsid w:val="00EB5B6F"/>
    <w:rsid w:val="00EC31BF"/>
    <w:rsid w:val="00ED6217"/>
    <w:rsid w:val="00EE3AEE"/>
    <w:rsid w:val="00EE6478"/>
    <w:rsid w:val="00EF13FF"/>
    <w:rsid w:val="00F03DA4"/>
    <w:rsid w:val="00F078F3"/>
    <w:rsid w:val="00F15EDD"/>
    <w:rsid w:val="00F246DF"/>
    <w:rsid w:val="00F31163"/>
    <w:rsid w:val="00F31A70"/>
    <w:rsid w:val="00F334F9"/>
    <w:rsid w:val="00F37460"/>
    <w:rsid w:val="00F43C9A"/>
    <w:rsid w:val="00F471F4"/>
    <w:rsid w:val="00F54116"/>
    <w:rsid w:val="00F823D7"/>
    <w:rsid w:val="00F95F46"/>
    <w:rsid w:val="00FB1401"/>
    <w:rsid w:val="00FB520B"/>
    <w:rsid w:val="00FD0223"/>
    <w:rsid w:val="00FE11D3"/>
    <w:rsid w:val="00FE3372"/>
    <w:rsid w:val="00FE6454"/>
    <w:rsid w:val="00FE687C"/>
    <w:rsid w:val="00FF1B53"/>
    <w:rsid w:val="00FF1C07"/>
    <w:rsid w:val="00FF251B"/>
    <w:rsid w:val="00FF2F03"/>
    <w:rsid w:val="00FF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439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52"/>
  </w:style>
  <w:style w:type="paragraph" w:styleId="10">
    <w:name w:val="heading 1"/>
    <w:basedOn w:val="a"/>
    <w:next w:val="a"/>
    <w:link w:val="11"/>
    <w:uiPriority w:val="9"/>
    <w:qFormat/>
    <w:rsid w:val="00E31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05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052"/>
    <w:rPr>
      <w:rFonts w:ascii="Calibri Light" w:eastAsia="Times New Roman" w:hAnsi="Calibri Light" w:cs="Times New Roman"/>
      <w:b/>
      <w:bCs/>
      <w:sz w:val="26"/>
      <w:szCs w:val="26"/>
      <w:lang w:val="uk-UA" w:eastAsia="ja-JP"/>
    </w:rPr>
  </w:style>
  <w:style w:type="paragraph" w:styleId="a3">
    <w:name w:val="header"/>
    <w:basedOn w:val="a"/>
    <w:link w:val="a4"/>
    <w:uiPriority w:val="99"/>
    <w:rsid w:val="00095052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ій колонтитул Знак"/>
    <w:basedOn w:val="a0"/>
    <w:link w:val="a3"/>
    <w:uiPriority w:val="99"/>
    <w:rsid w:val="00095052"/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styleId="a5">
    <w:name w:val="page number"/>
    <w:rsid w:val="00095052"/>
  </w:style>
  <w:style w:type="paragraph" w:styleId="a6">
    <w:name w:val="Normal (Web)"/>
    <w:basedOn w:val="a"/>
    <w:uiPriority w:val="99"/>
    <w:rsid w:val="0009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095052"/>
    <w:rPr>
      <w:color w:val="0563C1"/>
      <w:u w:val="single"/>
    </w:rPr>
  </w:style>
  <w:style w:type="paragraph" w:styleId="a8">
    <w:name w:val="footnote text"/>
    <w:basedOn w:val="a"/>
    <w:link w:val="a9"/>
    <w:uiPriority w:val="99"/>
    <w:unhideWhenUsed/>
    <w:rsid w:val="0009505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виноски Знак"/>
    <w:basedOn w:val="a0"/>
    <w:link w:val="a8"/>
    <w:uiPriority w:val="99"/>
    <w:rsid w:val="00095052"/>
    <w:rPr>
      <w:rFonts w:ascii="Times New Roman" w:eastAsia="MS Mincho" w:hAnsi="Times New Roman" w:cs="Times New Roman"/>
      <w:sz w:val="20"/>
      <w:szCs w:val="20"/>
      <w:lang w:val="uk-UA" w:eastAsia="ja-JP"/>
    </w:rPr>
  </w:style>
  <w:style w:type="character" w:styleId="aa">
    <w:name w:val="footnote reference"/>
    <w:uiPriority w:val="99"/>
    <w:semiHidden/>
    <w:unhideWhenUsed/>
    <w:rsid w:val="00095052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095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095052"/>
    <w:rPr>
      <w:lang w:val="uk-UA"/>
    </w:rPr>
  </w:style>
  <w:style w:type="character" w:customStyle="1" w:styleId="rvts0">
    <w:name w:val="rvts0"/>
    <w:basedOn w:val="a0"/>
    <w:rsid w:val="00095052"/>
  </w:style>
  <w:style w:type="character" w:customStyle="1" w:styleId="rvts9">
    <w:name w:val="rvts9"/>
    <w:basedOn w:val="a0"/>
    <w:rsid w:val="00095052"/>
    <w:rPr>
      <w:rFonts w:cs="Times New Roman"/>
    </w:rPr>
  </w:style>
  <w:style w:type="character" w:customStyle="1" w:styleId="highlight">
    <w:name w:val="highlight"/>
    <w:basedOn w:val="a0"/>
    <w:rsid w:val="00095052"/>
  </w:style>
  <w:style w:type="character" w:customStyle="1" w:styleId="20">
    <w:name w:val="Заголовок 2 Знак"/>
    <w:basedOn w:val="a0"/>
    <w:link w:val="2"/>
    <w:uiPriority w:val="9"/>
    <w:rsid w:val="000C48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rvts44">
    <w:name w:val="rvts44"/>
    <w:basedOn w:val="a0"/>
    <w:rsid w:val="00895ABF"/>
  </w:style>
  <w:style w:type="paragraph" w:styleId="ad">
    <w:name w:val="List Paragraph"/>
    <w:basedOn w:val="a"/>
    <w:link w:val="ae"/>
    <w:uiPriority w:val="34"/>
    <w:qFormat/>
    <w:rsid w:val="00397A49"/>
    <w:pPr>
      <w:ind w:left="720"/>
      <w:contextualSpacing/>
    </w:pPr>
  </w:style>
  <w:style w:type="paragraph" w:customStyle="1" w:styleId="rvps2">
    <w:name w:val="rvps2"/>
    <w:basedOn w:val="a"/>
    <w:rsid w:val="00CD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CD422E"/>
  </w:style>
  <w:style w:type="paragraph" w:customStyle="1" w:styleId="af">
    <w:name w:val="Нормальний текст"/>
    <w:basedOn w:val="a"/>
    <w:rsid w:val="006054F3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f0">
    <w:name w:val="Table Grid"/>
    <w:basedOn w:val="a1"/>
    <w:uiPriority w:val="39"/>
    <w:rsid w:val="00FE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uiPriority w:val="99"/>
    <w:unhideWhenUsed/>
    <w:rsid w:val="00FE645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rsid w:val="00FE6454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StyleZakonu">
    <w:name w:val="StyleZakonu"/>
    <w:basedOn w:val="a"/>
    <w:uiPriority w:val="99"/>
    <w:rsid w:val="00E3183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id">
    <w:name w:val="valid"/>
    <w:basedOn w:val="a0"/>
    <w:rsid w:val="00E3183C"/>
  </w:style>
  <w:style w:type="character" w:customStyle="1" w:styleId="dat0">
    <w:name w:val="dat0"/>
    <w:basedOn w:val="a0"/>
    <w:rsid w:val="00E3183C"/>
  </w:style>
  <w:style w:type="character" w:customStyle="1" w:styleId="11">
    <w:name w:val="Заголовок 1 Знак"/>
    <w:basedOn w:val="a0"/>
    <w:link w:val="10"/>
    <w:uiPriority w:val="9"/>
    <w:rsid w:val="00E318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customStyle="1" w:styleId="rvts23">
    <w:name w:val="rvts23"/>
    <w:basedOn w:val="a0"/>
    <w:rsid w:val="00C26B02"/>
  </w:style>
  <w:style w:type="paragraph" w:customStyle="1" w:styleId="1">
    <w:name w:val="Обычный1"/>
    <w:basedOn w:val="a"/>
    <w:rsid w:val="00BE7D9F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e">
    <w:name w:val="Абзац списку Знак"/>
    <w:link w:val="ad"/>
    <w:uiPriority w:val="34"/>
    <w:locked/>
    <w:rsid w:val="008048BF"/>
    <w:rPr>
      <w:lang w:val="uk-UA"/>
    </w:rPr>
  </w:style>
  <w:style w:type="paragraph" w:customStyle="1" w:styleId="rvps14">
    <w:name w:val="rvps14"/>
    <w:basedOn w:val="a"/>
    <w:rsid w:val="00E0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E0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2">
    <w:name w:val="Абзац списка1"/>
    <w:basedOn w:val="a"/>
    <w:link w:val="ListParagraphChar"/>
    <w:rsid w:val="0045502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2"/>
    <w:locked/>
    <w:rsid w:val="0045502A"/>
    <w:rPr>
      <w:rFonts w:ascii="Calibri" w:eastAsia="Times New Roman" w:hAnsi="Calibri" w:cs="Times New Roman"/>
    </w:rPr>
  </w:style>
  <w:style w:type="character" w:customStyle="1" w:styleId="st42">
    <w:name w:val="st42"/>
    <w:uiPriority w:val="99"/>
    <w:rsid w:val="005B7EA0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74B1-A6D7-4FA2-9BF4-9D04678C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18535</Words>
  <Characters>10565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2021-01-05T11:25:00Z</dcterms:created>
  <dcterms:modified xsi:type="dcterms:W3CDTF">2021-01-05T11:25:00Z</dcterms:modified>
</cp:coreProperties>
</file>