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A1" w:rsidRDefault="00617EA6" w:rsidP="00617E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104DB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ПРОГНОЗ ВПЛИВ</w:t>
      </w:r>
      <w:r w:rsidR="00F632B5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У</w:t>
      </w:r>
      <w:r w:rsidRPr="007104D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br/>
      </w:r>
      <w:r w:rsidRPr="0040028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реалізації про</w:t>
      </w:r>
      <w:r w:rsidR="002B258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є</w:t>
      </w:r>
      <w:r w:rsidRPr="0040028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кту </w:t>
      </w:r>
      <w:r w:rsidR="0040028E" w:rsidRPr="0040028E">
        <w:rPr>
          <w:rFonts w:ascii="Times New Roman" w:hAnsi="Times New Roman"/>
          <w:b/>
          <w:sz w:val="28"/>
          <w:szCs w:val="28"/>
        </w:rPr>
        <w:t xml:space="preserve">Закону України «Про внесення змін до деяких законодавчих актів України </w:t>
      </w:r>
    </w:p>
    <w:p w:rsidR="00617EA6" w:rsidRPr="00384C9E" w:rsidRDefault="0040028E" w:rsidP="00617E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40028E">
        <w:rPr>
          <w:rFonts w:ascii="Times New Roman" w:hAnsi="Times New Roman"/>
          <w:b/>
          <w:sz w:val="28"/>
          <w:szCs w:val="28"/>
        </w:rPr>
        <w:t>щодо вдосконалення законодавства у сфері міграції»</w:t>
      </w:r>
      <w:r>
        <w:rPr>
          <w:sz w:val="28"/>
          <w:szCs w:val="28"/>
        </w:rPr>
        <w:t xml:space="preserve"> </w:t>
      </w:r>
    </w:p>
    <w:p w:rsidR="00853EEF" w:rsidRPr="007104DB" w:rsidRDefault="00853EEF" w:rsidP="00617E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EE48A1" w:rsidRPr="00EB681D" w:rsidRDefault="00EE48A1" w:rsidP="00EB681D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1" w:name="n1760"/>
      <w:bookmarkEnd w:id="1"/>
      <w:r w:rsidRPr="00EB681D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Суть проєкту акта:</w:t>
      </w:r>
      <w:r w:rsidRPr="00EB681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EB681D" w:rsidRPr="004E10DE">
        <w:rPr>
          <w:rFonts w:ascii="Times New Roman" w:eastAsia="Times New Roman" w:hAnsi="Times New Roman"/>
          <w:sz w:val="28"/>
          <w:szCs w:val="28"/>
          <w:lang w:eastAsia="uk-UA"/>
        </w:rPr>
        <w:t>удосконал</w:t>
      </w:r>
      <w:r w:rsidR="00EB681D">
        <w:rPr>
          <w:rFonts w:ascii="Times New Roman" w:eastAsia="Times New Roman" w:hAnsi="Times New Roman"/>
          <w:sz w:val="28"/>
          <w:szCs w:val="28"/>
          <w:lang w:eastAsia="uk-UA"/>
        </w:rPr>
        <w:t>ення</w:t>
      </w:r>
      <w:r w:rsidR="00EB68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1F77" w:rsidRPr="004E1F77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 </w:t>
      </w:r>
      <w:r w:rsidR="004E1F77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законодавства </w:t>
      </w:r>
      <w:r w:rsidR="004E1F77" w:rsidRPr="004E1F77">
        <w:rPr>
          <w:rFonts w:ascii="Times New Roman" w:eastAsia="Times New Roman" w:hAnsi="Times New Roman"/>
          <w:sz w:val="28"/>
          <w:szCs w:val="28"/>
          <w:lang w:eastAsia="ru-RU"/>
        </w:rPr>
        <w:t xml:space="preserve">стосовно перебування іноземців та осіб без громадянства на території Україні, </w:t>
      </w:r>
      <w:r w:rsidR="004E1F77">
        <w:rPr>
          <w:rFonts w:ascii="Times New Roman" w:eastAsia="Times New Roman" w:hAnsi="Times New Roman"/>
          <w:sz w:val="28"/>
          <w:szCs w:val="28"/>
          <w:lang w:eastAsia="ru-RU"/>
        </w:rPr>
        <w:t xml:space="preserve">зокрема стосовно </w:t>
      </w:r>
      <w:r w:rsidR="004E1F77" w:rsidRPr="004E1F77">
        <w:rPr>
          <w:rFonts w:ascii="Times New Roman" w:eastAsia="Times New Roman" w:hAnsi="Times New Roman"/>
          <w:sz w:val="28"/>
          <w:szCs w:val="28"/>
          <w:lang w:eastAsia="ru-RU"/>
        </w:rPr>
        <w:t>підвищення рівня відповідальності приймаючої сторони</w:t>
      </w:r>
      <w:r w:rsidR="004E1F77">
        <w:rPr>
          <w:rFonts w:ascii="Times New Roman" w:eastAsia="Times New Roman" w:hAnsi="Times New Roman"/>
          <w:sz w:val="28"/>
          <w:szCs w:val="28"/>
          <w:lang w:eastAsia="ru-RU"/>
        </w:rPr>
        <w:t xml:space="preserve"> іноземців та осіб без громадянства</w:t>
      </w:r>
      <w:r w:rsidR="004E1F77" w:rsidRPr="004E1F77">
        <w:rPr>
          <w:rFonts w:ascii="Times New Roman" w:eastAsia="Times New Roman" w:hAnsi="Times New Roman"/>
          <w:sz w:val="28"/>
          <w:szCs w:val="28"/>
          <w:lang w:eastAsia="ru-RU"/>
        </w:rPr>
        <w:t>, за порушення законодавства про правовий статус іноземців та осіб без громадянства, а також спрощення процедур</w:t>
      </w:r>
      <w:r w:rsidR="00EB681D" w:rsidRPr="004E10DE">
        <w:rPr>
          <w:rFonts w:ascii="Times New Roman" w:eastAsia="Times New Roman" w:hAnsi="Times New Roman"/>
          <w:noProof/>
          <w:sz w:val="28"/>
          <w:szCs w:val="28"/>
          <w:lang w:eastAsia="uk-UA"/>
        </w:rPr>
        <w:t>, пов’язан</w:t>
      </w:r>
      <w:r w:rsidR="00EB681D">
        <w:rPr>
          <w:rFonts w:ascii="Times New Roman" w:eastAsia="Times New Roman" w:hAnsi="Times New Roman"/>
          <w:noProof/>
          <w:sz w:val="28"/>
          <w:szCs w:val="28"/>
          <w:lang w:eastAsia="uk-UA"/>
        </w:rPr>
        <w:t>их</w:t>
      </w:r>
      <w:r w:rsidR="00EB681D" w:rsidRPr="004E10DE">
        <w:rPr>
          <w:rFonts w:ascii="Times New Roman" w:eastAsia="Times New Roman" w:hAnsi="Times New Roman"/>
          <w:noProof/>
          <w:sz w:val="28"/>
          <w:szCs w:val="28"/>
          <w:lang w:eastAsia="uk-UA"/>
        </w:rPr>
        <w:t xml:space="preserve"> з </w:t>
      </w:r>
      <w:r w:rsidR="00EB681D" w:rsidRPr="00EB681D">
        <w:rPr>
          <w:rFonts w:ascii="Times New Roman" w:eastAsia="Times New Roman" w:hAnsi="Times New Roman"/>
          <w:noProof/>
          <w:sz w:val="28"/>
          <w:szCs w:val="28"/>
          <w:lang w:eastAsia="uk-UA"/>
        </w:rPr>
        <w:t>отриманням</w:t>
      </w:r>
      <w:r w:rsidR="00EB681D">
        <w:rPr>
          <w:rFonts w:ascii="Times New Roman" w:eastAsia="Times New Roman" w:hAnsi="Times New Roman"/>
          <w:noProof/>
          <w:sz w:val="28"/>
          <w:szCs w:val="28"/>
          <w:lang w:eastAsia="uk-UA"/>
        </w:rPr>
        <w:t xml:space="preserve"> </w:t>
      </w:r>
      <w:r w:rsidR="00EB681D" w:rsidRPr="004E10DE">
        <w:rPr>
          <w:rFonts w:ascii="Times New Roman" w:eastAsia="Times New Roman" w:hAnsi="Times New Roman"/>
          <w:noProof/>
          <w:sz w:val="28"/>
          <w:szCs w:val="28"/>
          <w:lang w:eastAsia="uk-UA"/>
        </w:rPr>
        <w:t>іноземц</w:t>
      </w:r>
      <w:r w:rsidR="00EB681D" w:rsidRPr="00EB681D">
        <w:rPr>
          <w:rFonts w:ascii="Times New Roman" w:eastAsia="Times New Roman" w:hAnsi="Times New Roman"/>
          <w:noProof/>
          <w:sz w:val="28"/>
          <w:szCs w:val="28"/>
          <w:lang w:eastAsia="uk-UA"/>
        </w:rPr>
        <w:t>ями</w:t>
      </w:r>
      <w:r w:rsidR="00EB681D" w:rsidRPr="004E10DE">
        <w:rPr>
          <w:rFonts w:ascii="Times New Roman" w:eastAsia="Times New Roman" w:hAnsi="Times New Roman"/>
          <w:noProof/>
          <w:sz w:val="28"/>
          <w:szCs w:val="28"/>
          <w:lang w:eastAsia="uk-UA"/>
        </w:rPr>
        <w:t xml:space="preserve"> та ос</w:t>
      </w:r>
      <w:r w:rsidR="00EB681D" w:rsidRPr="00EB681D">
        <w:rPr>
          <w:rFonts w:ascii="Times New Roman" w:eastAsia="Times New Roman" w:hAnsi="Times New Roman"/>
          <w:noProof/>
          <w:sz w:val="28"/>
          <w:szCs w:val="28"/>
          <w:lang w:eastAsia="uk-UA"/>
        </w:rPr>
        <w:t>обами</w:t>
      </w:r>
      <w:r w:rsidR="00EB681D">
        <w:rPr>
          <w:rFonts w:ascii="Times New Roman" w:eastAsia="Times New Roman" w:hAnsi="Times New Roman"/>
          <w:noProof/>
          <w:sz w:val="28"/>
          <w:szCs w:val="28"/>
          <w:lang w:eastAsia="uk-UA"/>
        </w:rPr>
        <w:t xml:space="preserve"> </w:t>
      </w:r>
      <w:r w:rsidR="00EB681D" w:rsidRPr="004E10DE">
        <w:rPr>
          <w:rFonts w:ascii="Times New Roman" w:eastAsia="Times New Roman" w:hAnsi="Times New Roman"/>
          <w:noProof/>
          <w:sz w:val="28"/>
          <w:szCs w:val="28"/>
          <w:lang w:eastAsia="uk-UA"/>
        </w:rPr>
        <w:t>без гр</w:t>
      </w:r>
      <w:r w:rsidR="00EB681D">
        <w:rPr>
          <w:rFonts w:ascii="Times New Roman" w:eastAsia="Times New Roman" w:hAnsi="Times New Roman"/>
          <w:noProof/>
          <w:sz w:val="28"/>
          <w:szCs w:val="28"/>
          <w:lang w:eastAsia="uk-UA"/>
        </w:rPr>
        <w:t>омадянства документів, що підтверджують їх законне перебування на території України</w:t>
      </w:r>
    </w:p>
    <w:p w:rsidR="00617EA6" w:rsidRDefault="00E83E1F" w:rsidP="0058446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71037">
        <w:rPr>
          <w:rFonts w:ascii="Times New Roman" w:hAnsi="Times New Roman"/>
          <w:b/>
          <w:sz w:val="28"/>
          <w:szCs w:val="28"/>
        </w:rPr>
        <w:t xml:space="preserve"> </w:t>
      </w:r>
      <w:r w:rsidR="00584469">
        <w:rPr>
          <w:rFonts w:ascii="Times New Roman" w:hAnsi="Times New Roman"/>
          <w:b/>
          <w:sz w:val="28"/>
          <w:szCs w:val="28"/>
        </w:rPr>
        <w:t>В</w:t>
      </w:r>
      <w:r w:rsidRPr="00271037">
        <w:rPr>
          <w:rFonts w:ascii="Times New Roman" w:hAnsi="Times New Roman"/>
          <w:b/>
          <w:sz w:val="28"/>
          <w:szCs w:val="28"/>
        </w:rPr>
        <w:t xml:space="preserve">плив на </w:t>
      </w:r>
      <w:r w:rsidR="00584469">
        <w:rPr>
          <w:rFonts w:ascii="Times New Roman" w:hAnsi="Times New Roman"/>
          <w:b/>
          <w:sz w:val="28"/>
          <w:szCs w:val="28"/>
        </w:rPr>
        <w:t xml:space="preserve">ключові </w:t>
      </w:r>
      <w:r w:rsidRPr="00271037">
        <w:rPr>
          <w:rFonts w:ascii="Times New Roman" w:hAnsi="Times New Roman"/>
          <w:b/>
          <w:sz w:val="28"/>
          <w:szCs w:val="28"/>
        </w:rPr>
        <w:t>інтереси заінтересованих сторін</w:t>
      </w:r>
      <w:r w:rsidR="00617EA6" w:rsidRPr="0027103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:</w:t>
      </w:r>
    </w:p>
    <w:p w:rsidR="00495A18" w:rsidRPr="00271037" w:rsidRDefault="00495A18" w:rsidP="00602CC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6"/>
        <w:gridCol w:w="3117"/>
        <w:gridCol w:w="2269"/>
        <w:gridCol w:w="2554"/>
        <w:gridCol w:w="4650"/>
      </w:tblGrid>
      <w:tr w:rsidR="00641FE4" w:rsidRPr="00A43D7D" w:rsidTr="00AD22C3">
        <w:trPr>
          <w:trHeight w:val="885"/>
        </w:trPr>
        <w:tc>
          <w:tcPr>
            <w:tcW w:w="844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17EA6" w:rsidRPr="00271037" w:rsidRDefault="00617EA6" w:rsidP="007B7F1E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bookmarkStart w:id="2" w:name="n1762"/>
            <w:bookmarkEnd w:id="2"/>
            <w:r w:rsidRPr="0027103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Заінтересована сторона</w:t>
            </w:r>
          </w:p>
          <w:p w:rsidR="00D90245" w:rsidRPr="00271037" w:rsidRDefault="00D90245" w:rsidP="007B7F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02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23C" w:rsidRDefault="00617EA6" w:rsidP="007B7F1E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7103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Ключовий </w:t>
            </w:r>
          </w:p>
          <w:p w:rsidR="00617EA6" w:rsidRPr="00271037" w:rsidRDefault="00617EA6" w:rsidP="007B7F1E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7103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інтерес</w:t>
            </w:r>
          </w:p>
        </w:tc>
        <w:tc>
          <w:tcPr>
            <w:tcW w:w="1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2C3" w:rsidRDefault="00617EA6" w:rsidP="00AD22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7103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Очікуваний (позитивний чи негативний) вплив на ключовий </w:t>
            </w:r>
          </w:p>
          <w:p w:rsidR="00AD22C3" w:rsidRDefault="00617EA6" w:rsidP="00AD22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7103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інтерес із зазначенням передбачуваної динаміки змін основних показників </w:t>
            </w:r>
          </w:p>
          <w:p w:rsidR="00617EA6" w:rsidRPr="00271037" w:rsidRDefault="00617EA6" w:rsidP="00AD22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7103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(у числовому або якісному вимірі)</w:t>
            </w:r>
          </w:p>
        </w:tc>
        <w:tc>
          <w:tcPr>
            <w:tcW w:w="15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17EA6" w:rsidRPr="00271037" w:rsidRDefault="00617EA6" w:rsidP="007B7F1E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7103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Пояснення (чому саме реалізація акта призведе до очікуваного впливу)</w:t>
            </w:r>
          </w:p>
        </w:tc>
      </w:tr>
      <w:tr w:rsidR="008203F8" w:rsidRPr="00A43D7D" w:rsidTr="00AD22C3">
        <w:trPr>
          <w:trHeight w:val="504"/>
        </w:trPr>
        <w:tc>
          <w:tcPr>
            <w:tcW w:w="844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17EA6" w:rsidRPr="00271037" w:rsidRDefault="00617EA6" w:rsidP="007B7F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02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EA6" w:rsidRPr="00271037" w:rsidRDefault="00617EA6" w:rsidP="007B7F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469" w:rsidRDefault="00617EA6" w:rsidP="002F5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7103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короткостроковий </w:t>
            </w:r>
          </w:p>
          <w:p w:rsidR="00617EA6" w:rsidRPr="00271037" w:rsidRDefault="00617EA6" w:rsidP="005844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7103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вплив (до року)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469" w:rsidRDefault="0074191A" w:rsidP="005844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</w:t>
            </w:r>
            <w:r w:rsidR="00617EA6" w:rsidRPr="0027103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ередньостроковий</w:t>
            </w:r>
          </w:p>
          <w:p w:rsidR="00617EA6" w:rsidRPr="00271037" w:rsidRDefault="00617EA6" w:rsidP="005844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7103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вплив (більше року)</w:t>
            </w:r>
          </w:p>
        </w:tc>
        <w:tc>
          <w:tcPr>
            <w:tcW w:w="15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17EA6" w:rsidRPr="00271037" w:rsidRDefault="00617EA6" w:rsidP="007B7F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8203F8" w:rsidRPr="00A43D7D" w:rsidTr="00AD22C3">
        <w:trPr>
          <w:trHeight w:val="836"/>
        </w:trPr>
        <w:tc>
          <w:tcPr>
            <w:tcW w:w="8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84469" w:rsidRPr="00D97FB8" w:rsidRDefault="00584469" w:rsidP="00D97FB8">
            <w:pPr>
              <w:spacing w:after="0" w:line="240" w:lineRule="auto"/>
              <w:ind w:left="147"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</w:t>
            </w:r>
            <w:r w:rsidRPr="00656AF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ноземці та особи без громадянства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, які </w:t>
            </w:r>
            <w:r w:rsidR="009D023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законно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перебувають на території України</w:t>
            </w:r>
            <w:r w:rsidR="00D97FB8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 </w:t>
            </w:r>
          </w:p>
        </w:tc>
        <w:tc>
          <w:tcPr>
            <w:tcW w:w="1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F91" w:rsidRPr="00271037" w:rsidRDefault="00B4371F" w:rsidP="00B4371F">
            <w:pPr>
              <w:spacing w:after="0" w:line="240" w:lineRule="auto"/>
              <w:ind w:left="142" w:right="1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Оформлення документів на постійне чи тимчасове проживання, продовження строку  перебування в Україні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2E" w:rsidRPr="00584469" w:rsidRDefault="00D97FB8" w:rsidP="001A12D2">
            <w:pPr>
              <w:spacing w:after="150" w:line="240" w:lineRule="auto"/>
              <w:ind w:left="142" w:right="174" w:firstLine="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Позитивний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732" w:rsidRPr="00D97FB8" w:rsidRDefault="00D97FB8" w:rsidP="00DF1AC4">
            <w:pPr>
              <w:spacing w:after="150" w:line="240" w:lineRule="auto"/>
              <w:ind w:left="142" w:right="17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97FB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Позитивний</w:t>
            </w: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384" w:rsidRPr="007E5703" w:rsidRDefault="00387050" w:rsidP="0074191A">
            <w:pPr>
              <w:spacing w:after="0" w:line="240" w:lineRule="auto"/>
              <w:ind w:left="142" w:right="174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Визначення вичерпного переліку документів для продовження строку перебування, о</w:t>
            </w:r>
            <w:r w:rsidR="00D97FB8" w:rsidRPr="00D7797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тримання можливості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подати відповідну заяву до останнього дня строку законного перебування в Україні, а також отримання можливості </w:t>
            </w:r>
            <w:r w:rsidR="009D023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</w:t>
            </w:r>
            <w:r w:rsidR="00D97FB8" w:rsidRPr="00D7797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родовжити строк перебування/</w:t>
            </w:r>
            <w:r w:rsidR="007419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D97FB8" w:rsidRPr="00D7797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проживання в Україні </w:t>
            </w:r>
            <w:r w:rsidR="0074191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</w:t>
            </w:r>
            <w:r w:rsidR="00D97FB8" w:rsidRPr="00D7797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разі, якщо </w:t>
            </w:r>
            <w:r w:rsidR="00DF1AC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особи</w:t>
            </w:r>
            <w:r w:rsidR="00D97FB8" w:rsidRPr="00D7797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з об</w:t>
            </w:r>
            <w:r w:rsidR="00D97FB8" w:rsidRPr="00D7797A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’</w:t>
            </w:r>
            <w:r w:rsidR="00D97FB8" w:rsidRPr="00D7797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єктивних причин не мали змоги вчасно це зробити</w:t>
            </w:r>
          </w:p>
        </w:tc>
      </w:tr>
      <w:tr w:rsidR="00E9447F" w:rsidRPr="00A43D7D" w:rsidTr="00AD22C3">
        <w:tc>
          <w:tcPr>
            <w:tcW w:w="8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9447F" w:rsidRPr="00656AFC" w:rsidRDefault="00E9447F" w:rsidP="00584469">
            <w:pPr>
              <w:spacing w:after="0" w:line="240" w:lineRule="auto"/>
              <w:ind w:left="147" w:right="87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</w:t>
            </w:r>
            <w:r w:rsidRPr="00656AF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ноземці та особи без громадянства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 які незаконно перебувають на території України</w:t>
            </w:r>
          </w:p>
        </w:tc>
        <w:tc>
          <w:tcPr>
            <w:tcW w:w="1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47F" w:rsidRPr="009D023C" w:rsidRDefault="00E9447F" w:rsidP="00DF1AC4">
            <w:pPr>
              <w:spacing w:after="0" w:line="240" w:lineRule="auto"/>
              <w:ind w:left="147" w:right="87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Легалізація на території України</w:t>
            </w:r>
            <w:r w:rsidR="00B43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47F" w:rsidRPr="009D023C" w:rsidRDefault="00E9447F" w:rsidP="009D023C">
            <w:pPr>
              <w:spacing w:after="150" w:line="240" w:lineRule="auto"/>
              <w:ind w:left="142" w:right="17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Негативний 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47F" w:rsidRPr="009D023C" w:rsidRDefault="00E9447F" w:rsidP="009D023C">
            <w:pPr>
              <w:spacing w:after="0" w:line="240" w:lineRule="auto"/>
              <w:ind w:left="147" w:right="8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Негативний</w:t>
            </w: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33F" w:rsidRPr="00863997" w:rsidRDefault="00B4371F" w:rsidP="00A01FB3">
            <w:pPr>
              <w:spacing w:after="0" w:line="240" w:lineRule="auto"/>
              <w:ind w:left="147"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Зменшення можливост</w:t>
            </w:r>
            <w:r w:rsidR="00902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ей</w:t>
            </w:r>
            <w:r w:rsidR="007673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D72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</w:t>
            </w:r>
            <w:r w:rsidR="007673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легалізації </w:t>
            </w:r>
            <w:r w:rsidR="006F4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Україні </w:t>
            </w:r>
            <w:r w:rsidR="00DF1A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(зокрема</w:t>
            </w:r>
            <w:r w:rsidR="007419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DF1A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 метою використання її як транзитної держави для подальшого виїзду до країн ЄС) </w:t>
            </w:r>
            <w:r w:rsidR="007419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6F4E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наслідок</w:t>
            </w:r>
            <w:r w:rsidR="00A01F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01F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удосконалення </w:t>
            </w:r>
            <w:r w:rsidR="00A01FB3" w:rsidRPr="00A01FB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норм законодавства, пов’язан</w:t>
            </w:r>
            <w:r w:rsidR="00A01FB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их</w:t>
            </w:r>
            <w:r w:rsidR="00A01FB3" w:rsidRPr="00A01FB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A01FB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із </w:t>
            </w:r>
            <w:r w:rsidR="00A01FB3" w:rsidRPr="00A01F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здійснення</w:t>
            </w:r>
            <w:r w:rsidR="00A01F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="00A01FB3" w:rsidRPr="00A01F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процедури біометричної ідентифікації та верифікації іноземців та осіб без громадянства, які порушують законодавство про правовий статус іноземців та осіб без громадянства</w:t>
            </w:r>
            <w:r w:rsidR="003642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вдосконалення процедур реадмісії та видворення</w:t>
            </w:r>
            <w:r w:rsidR="007673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9447F" w:rsidRPr="00A43D7D" w:rsidTr="00AD22C3">
        <w:tc>
          <w:tcPr>
            <w:tcW w:w="8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9447F" w:rsidRPr="00656AFC" w:rsidRDefault="00E9447F" w:rsidP="00AD22C3">
            <w:pPr>
              <w:spacing w:after="0" w:line="240" w:lineRule="auto"/>
              <w:ind w:left="147" w:right="87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56AF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Громадяни України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та інші особи, які запросили в </w:t>
            </w:r>
            <w:r w:rsidR="00AD22C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країну чи приймають в Україні іноземців та осіб без громадянства</w:t>
            </w:r>
            <w:r w:rsidR="009D3A1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та не забезпечили їх своєчасний виїзд чи оформлення документів на право перебування</w:t>
            </w:r>
            <w:r w:rsidR="00AD22C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9D3A1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/проживання в Україні</w:t>
            </w:r>
          </w:p>
        </w:tc>
        <w:tc>
          <w:tcPr>
            <w:tcW w:w="1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47F" w:rsidRDefault="00127CA1" w:rsidP="00417516">
            <w:pPr>
              <w:spacing w:after="0" w:line="240" w:lineRule="auto"/>
              <w:ind w:left="147" w:right="87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Уникнення відповідальності за </w:t>
            </w:r>
            <w:r w:rsidR="002741F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забезпечення</w:t>
            </w:r>
            <w:r w:rsidR="0019199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дотримання </w:t>
            </w:r>
            <w:r w:rsidR="002741F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вимог </w:t>
            </w:r>
            <w:r w:rsidR="0019199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законодавства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іноземц</w:t>
            </w:r>
            <w:r w:rsidR="00264EE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ями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та ос</w:t>
            </w:r>
            <w:r w:rsidR="00264EE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обами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без громадянства, яких вони запросили </w:t>
            </w:r>
            <w:r w:rsidR="002741F5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в Україну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або приймають</w:t>
            </w:r>
            <w:r w:rsidR="0019199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в Україні</w:t>
            </w:r>
          </w:p>
          <w:p w:rsidR="00B4371F" w:rsidRDefault="00B4371F" w:rsidP="00417516">
            <w:pPr>
              <w:spacing w:after="0" w:line="240" w:lineRule="auto"/>
              <w:ind w:left="147" w:right="87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B4371F" w:rsidRDefault="00B4371F" w:rsidP="00417516">
            <w:pPr>
              <w:spacing w:after="0" w:line="240" w:lineRule="auto"/>
              <w:ind w:left="147" w:right="87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B4371F" w:rsidRPr="009D023C" w:rsidRDefault="00B4371F" w:rsidP="00417516">
            <w:pPr>
              <w:spacing w:after="0" w:line="240" w:lineRule="auto"/>
              <w:ind w:left="147" w:right="87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47F" w:rsidRPr="009D023C" w:rsidRDefault="009D3A1E" w:rsidP="009D3A1E">
            <w:pPr>
              <w:spacing w:after="150" w:line="240" w:lineRule="auto"/>
              <w:ind w:left="142" w:right="17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D3A1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Негативний </w:t>
            </w:r>
            <w:r w:rsidRPr="009D3A1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ab/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47F" w:rsidRPr="009D023C" w:rsidRDefault="009D3A1E" w:rsidP="009D023C">
            <w:pPr>
              <w:spacing w:after="0" w:line="240" w:lineRule="auto"/>
              <w:ind w:left="147" w:right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A1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Негативний</w:t>
            </w: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FA9" w:rsidRPr="00963FA9" w:rsidRDefault="00963FA9" w:rsidP="00264EE1">
            <w:pPr>
              <w:spacing w:after="0" w:line="240" w:lineRule="auto"/>
              <w:ind w:left="147"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="00274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авдяки</w:t>
            </w:r>
            <w:r w:rsidR="004E1F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визначенню на законодавчому рівні </w:t>
            </w:r>
            <w:r w:rsidR="002741F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A01FB3" w:rsidRPr="00A01F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зобов’язань  осіб, які запросили в Україну чи приймають в Україні іноземців та осіб без громадянства, пов’язаних з перебуванням в Україні іноземців та осіб без громадянства, яких вони запросили (приймають)</w:t>
            </w:r>
            <w:r w:rsidR="00A01F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2741F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рост</w:t>
            </w:r>
            <w:r w:rsidR="00274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ає рівень </w:t>
            </w:r>
            <w:r w:rsidR="00A01F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їх </w:t>
            </w:r>
            <w:r w:rsidR="00274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відповідальності </w:t>
            </w:r>
            <w:r w:rsidR="00574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 зменшуються можливості </w:t>
            </w:r>
            <w:r w:rsidR="007D72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щодо </w:t>
            </w:r>
            <w:r w:rsidR="00574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її уникн</w:t>
            </w:r>
            <w:r w:rsidR="007D72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ення</w:t>
            </w:r>
            <w:r w:rsidR="00574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63FA9" w:rsidRPr="00963FA9" w:rsidRDefault="00963FA9" w:rsidP="00264EE1">
            <w:pPr>
              <w:spacing w:after="0" w:line="240" w:lineRule="auto"/>
              <w:ind w:left="147"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E9447F" w:rsidRPr="002741F5" w:rsidRDefault="00E9447F" w:rsidP="00264EE1">
            <w:pPr>
              <w:spacing w:after="0" w:line="240" w:lineRule="auto"/>
              <w:ind w:left="147" w:right="87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</w:p>
        </w:tc>
      </w:tr>
      <w:tr w:rsidR="008203F8" w:rsidRPr="00A43D7D" w:rsidTr="00AD22C3">
        <w:tc>
          <w:tcPr>
            <w:tcW w:w="8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7EA6" w:rsidRPr="00656AFC" w:rsidRDefault="007A1216" w:rsidP="00584469">
            <w:pPr>
              <w:spacing w:after="0" w:line="240" w:lineRule="auto"/>
              <w:ind w:left="147" w:right="87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56AF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Громадяни України</w:t>
            </w:r>
            <w:r w:rsidR="009D023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та інші особи, які законно перебувають на території України</w:t>
            </w:r>
          </w:p>
        </w:tc>
        <w:tc>
          <w:tcPr>
            <w:tcW w:w="1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EA6" w:rsidRPr="009D023C" w:rsidRDefault="009D023C" w:rsidP="00417516">
            <w:pPr>
              <w:spacing w:after="0" w:line="240" w:lineRule="auto"/>
              <w:ind w:left="147" w:right="87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D023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Належне забезпечення прав і свобод, громадський порядок і безпека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0E9" w:rsidRPr="009D023C" w:rsidRDefault="009D023C" w:rsidP="009D023C">
            <w:pPr>
              <w:spacing w:after="150" w:line="240" w:lineRule="auto"/>
              <w:ind w:left="142" w:right="17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D023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Позитивний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F6" w:rsidRPr="009D023C" w:rsidRDefault="009D023C" w:rsidP="009D023C">
            <w:pPr>
              <w:spacing w:after="0" w:line="240" w:lineRule="auto"/>
              <w:ind w:left="147" w:right="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23C">
              <w:rPr>
                <w:rFonts w:ascii="Times New Roman" w:hAnsi="Times New Roman"/>
                <w:sz w:val="28"/>
                <w:szCs w:val="28"/>
              </w:rPr>
              <w:t>Позитивний</w:t>
            </w:r>
          </w:p>
        </w:tc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EA6" w:rsidRPr="0076733F" w:rsidRDefault="00364258" w:rsidP="0076733F">
            <w:pPr>
              <w:spacing w:after="0" w:line="240" w:lineRule="auto"/>
              <w:ind w:left="147"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6733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Зменшення кількості не</w:t>
            </w:r>
            <w:r w:rsidR="0076733F" w:rsidRPr="0076733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законних мігрантів і відповідно </w:t>
            </w:r>
            <w:r w:rsidR="0076733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рівня</w:t>
            </w:r>
            <w:r w:rsidR="0076733F" w:rsidRPr="0076733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злочинів та правопорушень, які ними вчиняються.</w:t>
            </w:r>
          </w:p>
        </w:tc>
      </w:tr>
    </w:tbl>
    <w:p w:rsidR="00D74BF6" w:rsidRDefault="00D74BF6" w:rsidP="00E83E1F"/>
    <w:sectPr w:rsidR="00D74BF6" w:rsidSect="009D023C">
      <w:headerReference w:type="default" r:id="rId8"/>
      <w:pgSz w:w="16838" w:h="11906" w:orient="landscape"/>
      <w:pgMar w:top="426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EF0" w:rsidRDefault="00BD3EF0" w:rsidP="00D74BF6">
      <w:pPr>
        <w:spacing w:after="0" w:line="240" w:lineRule="auto"/>
      </w:pPr>
      <w:r>
        <w:separator/>
      </w:r>
    </w:p>
  </w:endnote>
  <w:endnote w:type="continuationSeparator" w:id="0">
    <w:p w:rsidR="00BD3EF0" w:rsidRDefault="00BD3EF0" w:rsidP="00D7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EF0" w:rsidRDefault="00BD3EF0" w:rsidP="00D74BF6">
      <w:pPr>
        <w:spacing w:after="0" w:line="240" w:lineRule="auto"/>
      </w:pPr>
      <w:r>
        <w:separator/>
      </w:r>
    </w:p>
  </w:footnote>
  <w:footnote w:type="continuationSeparator" w:id="0">
    <w:p w:rsidR="00BD3EF0" w:rsidRDefault="00BD3EF0" w:rsidP="00D74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F6" w:rsidRDefault="00D74BF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F511F" w:rsidRPr="007F511F">
      <w:rPr>
        <w:noProof/>
        <w:lang w:val="ru-RU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913A9"/>
    <w:multiLevelType w:val="hybridMultilevel"/>
    <w:tmpl w:val="A880E442"/>
    <w:lvl w:ilvl="0" w:tplc="4B4E68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F8A22CE"/>
    <w:multiLevelType w:val="hybridMultilevel"/>
    <w:tmpl w:val="043E2F8E"/>
    <w:lvl w:ilvl="0" w:tplc="53EE33FE">
      <w:start w:val="1"/>
      <w:numFmt w:val="decimal"/>
      <w:lvlText w:val="%1."/>
      <w:lvlJc w:val="left"/>
      <w:pPr>
        <w:ind w:left="1125" w:hanging="6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A6"/>
    <w:rsid w:val="00022E58"/>
    <w:rsid w:val="0002455E"/>
    <w:rsid w:val="00026B7B"/>
    <w:rsid w:val="00030299"/>
    <w:rsid w:val="000333C9"/>
    <w:rsid w:val="00045F7D"/>
    <w:rsid w:val="0005742B"/>
    <w:rsid w:val="000644E3"/>
    <w:rsid w:val="0008610A"/>
    <w:rsid w:val="00094F3F"/>
    <w:rsid w:val="000A0B3F"/>
    <w:rsid w:val="000A45D6"/>
    <w:rsid w:val="000B0874"/>
    <w:rsid w:val="000B31B4"/>
    <w:rsid w:val="000B54D6"/>
    <w:rsid w:val="000E13BD"/>
    <w:rsid w:val="000F2000"/>
    <w:rsid w:val="000F22B7"/>
    <w:rsid w:val="0010166C"/>
    <w:rsid w:val="00101A36"/>
    <w:rsid w:val="00104A9C"/>
    <w:rsid w:val="00112355"/>
    <w:rsid w:val="001265C0"/>
    <w:rsid w:val="00127CA1"/>
    <w:rsid w:val="001317E3"/>
    <w:rsid w:val="001330D0"/>
    <w:rsid w:val="00134B7D"/>
    <w:rsid w:val="00145F62"/>
    <w:rsid w:val="00187A1F"/>
    <w:rsid w:val="00191993"/>
    <w:rsid w:val="001A12D2"/>
    <w:rsid w:val="001B23A9"/>
    <w:rsid w:val="001B543A"/>
    <w:rsid w:val="00226706"/>
    <w:rsid w:val="00227718"/>
    <w:rsid w:val="00230048"/>
    <w:rsid w:val="00254781"/>
    <w:rsid w:val="00264EE1"/>
    <w:rsid w:val="00271037"/>
    <w:rsid w:val="002741F5"/>
    <w:rsid w:val="0027607F"/>
    <w:rsid w:val="002869BB"/>
    <w:rsid w:val="002B258F"/>
    <w:rsid w:val="002C0A95"/>
    <w:rsid w:val="002C662B"/>
    <w:rsid w:val="002D0EC9"/>
    <w:rsid w:val="002F5695"/>
    <w:rsid w:val="002F57D9"/>
    <w:rsid w:val="0030223C"/>
    <w:rsid w:val="00307A88"/>
    <w:rsid w:val="00311F40"/>
    <w:rsid w:val="00333716"/>
    <w:rsid w:val="0034208A"/>
    <w:rsid w:val="00352163"/>
    <w:rsid w:val="00364258"/>
    <w:rsid w:val="00374535"/>
    <w:rsid w:val="00384C9E"/>
    <w:rsid w:val="00387050"/>
    <w:rsid w:val="00392035"/>
    <w:rsid w:val="003B6674"/>
    <w:rsid w:val="003C41B1"/>
    <w:rsid w:val="003E4347"/>
    <w:rsid w:val="003E712E"/>
    <w:rsid w:val="003F3A59"/>
    <w:rsid w:val="0040028E"/>
    <w:rsid w:val="00413BD8"/>
    <w:rsid w:val="00416F46"/>
    <w:rsid w:val="00417516"/>
    <w:rsid w:val="00420EF5"/>
    <w:rsid w:val="00447D4A"/>
    <w:rsid w:val="004848BA"/>
    <w:rsid w:val="004915EC"/>
    <w:rsid w:val="004936AC"/>
    <w:rsid w:val="00495A18"/>
    <w:rsid w:val="004C0268"/>
    <w:rsid w:val="004C3D57"/>
    <w:rsid w:val="004D79A2"/>
    <w:rsid w:val="004E10DE"/>
    <w:rsid w:val="004E1F77"/>
    <w:rsid w:val="005076A3"/>
    <w:rsid w:val="00511B64"/>
    <w:rsid w:val="0051404E"/>
    <w:rsid w:val="00526330"/>
    <w:rsid w:val="00534B3D"/>
    <w:rsid w:val="00552029"/>
    <w:rsid w:val="0057442E"/>
    <w:rsid w:val="00584469"/>
    <w:rsid w:val="005D4532"/>
    <w:rsid w:val="005D776F"/>
    <w:rsid w:val="005F0A3F"/>
    <w:rsid w:val="00600D34"/>
    <w:rsid w:val="00602CCD"/>
    <w:rsid w:val="0060315C"/>
    <w:rsid w:val="00604D96"/>
    <w:rsid w:val="00617EA6"/>
    <w:rsid w:val="00623C15"/>
    <w:rsid w:val="00632098"/>
    <w:rsid w:val="00636FB9"/>
    <w:rsid w:val="00641FE4"/>
    <w:rsid w:val="00650003"/>
    <w:rsid w:val="00656AFC"/>
    <w:rsid w:val="0067316E"/>
    <w:rsid w:val="00685096"/>
    <w:rsid w:val="00693628"/>
    <w:rsid w:val="006B7C38"/>
    <w:rsid w:val="006C622F"/>
    <w:rsid w:val="006D085A"/>
    <w:rsid w:val="006D415D"/>
    <w:rsid w:val="006E2E70"/>
    <w:rsid w:val="006F4205"/>
    <w:rsid w:val="006F4EE7"/>
    <w:rsid w:val="007104DB"/>
    <w:rsid w:val="00710BA6"/>
    <w:rsid w:val="00711384"/>
    <w:rsid w:val="00717F91"/>
    <w:rsid w:val="0074191A"/>
    <w:rsid w:val="00757DAE"/>
    <w:rsid w:val="0076733F"/>
    <w:rsid w:val="00775978"/>
    <w:rsid w:val="007A1216"/>
    <w:rsid w:val="007B7F1E"/>
    <w:rsid w:val="007C2CC3"/>
    <w:rsid w:val="007C76F8"/>
    <w:rsid w:val="007D7214"/>
    <w:rsid w:val="007E5703"/>
    <w:rsid w:val="007F511F"/>
    <w:rsid w:val="00812656"/>
    <w:rsid w:val="008177C1"/>
    <w:rsid w:val="008203F8"/>
    <w:rsid w:val="00827304"/>
    <w:rsid w:val="00844F3C"/>
    <w:rsid w:val="00846AE0"/>
    <w:rsid w:val="00853EEF"/>
    <w:rsid w:val="00860B68"/>
    <w:rsid w:val="00863997"/>
    <w:rsid w:val="00883C8F"/>
    <w:rsid w:val="0089768D"/>
    <w:rsid w:val="008A6824"/>
    <w:rsid w:val="008A6B6E"/>
    <w:rsid w:val="008A6FE3"/>
    <w:rsid w:val="008D31DC"/>
    <w:rsid w:val="008E1FA8"/>
    <w:rsid w:val="008E3452"/>
    <w:rsid w:val="008E5346"/>
    <w:rsid w:val="00902600"/>
    <w:rsid w:val="00910354"/>
    <w:rsid w:val="0091047A"/>
    <w:rsid w:val="00915A66"/>
    <w:rsid w:val="0092211D"/>
    <w:rsid w:val="00925A3D"/>
    <w:rsid w:val="00927685"/>
    <w:rsid w:val="00937B1B"/>
    <w:rsid w:val="009454BD"/>
    <w:rsid w:val="00950034"/>
    <w:rsid w:val="009627A3"/>
    <w:rsid w:val="00963FA9"/>
    <w:rsid w:val="009746A6"/>
    <w:rsid w:val="009850FA"/>
    <w:rsid w:val="00986CBC"/>
    <w:rsid w:val="0099050A"/>
    <w:rsid w:val="009D023C"/>
    <w:rsid w:val="009D3A1E"/>
    <w:rsid w:val="009E4F4E"/>
    <w:rsid w:val="009F5BCA"/>
    <w:rsid w:val="00A01FB3"/>
    <w:rsid w:val="00A04050"/>
    <w:rsid w:val="00A16732"/>
    <w:rsid w:val="00A40C2E"/>
    <w:rsid w:val="00A40D76"/>
    <w:rsid w:val="00A418B6"/>
    <w:rsid w:val="00A43D7D"/>
    <w:rsid w:val="00A47660"/>
    <w:rsid w:val="00A50E9C"/>
    <w:rsid w:val="00A51E93"/>
    <w:rsid w:val="00A65FE4"/>
    <w:rsid w:val="00A770E9"/>
    <w:rsid w:val="00A775CD"/>
    <w:rsid w:val="00A9028E"/>
    <w:rsid w:val="00A926D6"/>
    <w:rsid w:val="00AC38A7"/>
    <w:rsid w:val="00AD22C3"/>
    <w:rsid w:val="00AD367B"/>
    <w:rsid w:val="00AF02EB"/>
    <w:rsid w:val="00B12EE1"/>
    <w:rsid w:val="00B245C7"/>
    <w:rsid w:val="00B4371F"/>
    <w:rsid w:val="00B50956"/>
    <w:rsid w:val="00B50A16"/>
    <w:rsid w:val="00B5307C"/>
    <w:rsid w:val="00B56E5E"/>
    <w:rsid w:val="00B627E1"/>
    <w:rsid w:val="00B912E4"/>
    <w:rsid w:val="00B922A5"/>
    <w:rsid w:val="00BA791B"/>
    <w:rsid w:val="00BC48A1"/>
    <w:rsid w:val="00BD1990"/>
    <w:rsid w:val="00BD3EF0"/>
    <w:rsid w:val="00C25782"/>
    <w:rsid w:val="00C51335"/>
    <w:rsid w:val="00C84B5C"/>
    <w:rsid w:val="00C85918"/>
    <w:rsid w:val="00CB2F5E"/>
    <w:rsid w:val="00CD0B6B"/>
    <w:rsid w:val="00CE4FFB"/>
    <w:rsid w:val="00D10ACC"/>
    <w:rsid w:val="00D1633D"/>
    <w:rsid w:val="00D2312C"/>
    <w:rsid w:val="00D32C3E"/>
    <w:rsid w:val="00D47899"/>
    <w:rsid w:val="00D72561"/>
    <w:rsid w:val="00D74BF6"/>
    <w:rsid w:val="00D76E4B"/>
    <w:rsid w:val="00D773F5"/>
    <w:rsid w:val="00D7797A"/>
    <w:rsid w:val="00D85037"/>
    <w:rsid w:val="00D87B57"/>
    <w:rsid w:val="00D90245"/>
    <w:rsid w:val="00D97FB8"/>
    <w:rsid w:val="00D97FD8"/>
    <w:rsid w:val="00DA6F70"/>
    <w:rsid w:val="00DC1588"/>
    <w:rsid w:val="00DC684F"/>
    <w:rsid w:val="00DD39AF"/>
    <w:rsid w:val="00DE36FA"/>
    <w:rsid w:val="00DF1691"/>
    <w:rsid w:val="00DF1AC4"/>
    <w:rsid w:val="00E0703F"/>
    <w:rsid w:val="00E0728A"/>
    <w:rsid w:val="00E15C0F"/>
    <w:rsid w:val="00E17881"/>
    <w:rsid w:val="00E22384"/>
    <w:rsid w:val="00E415A4"/>
    <w:rsid w:val="00E62B98"/>
    <w:rsid w:val="00E77D8C"/>
    <w:rsid w:val="00E83E1F"/>
    <w:rsid w:val="00E9447F"/>
    <w:rsid w:val="00EA79CD"/>
    <w:rsid w:val="00EB244C"/>
    <w:rsid w:val="00EB4396"/>
    <w:rsid w:val="00EB681D"/>
    <w:rsid w:val="00EC770A"/>
    <w:rsid w:val="00ED048A"/>
    <w:rsid w:val="00ED32D8"/>
    <w:rsid w:val="00ED5A19"/>
    <w:rsid w:val="00EE48A1"/>
    <w:rsid w:val="00F327DB"/>
    <w:rsid w:val="00F56EBA"/>
    <w:rsid w:val="00F632B5"/>
    <w:rsid w:val="00F7627D"/>
    <w:rsid w:val="00F83A29"/>
    <w:rsid w:val="00FA21E9"/>
    <w:rsid w:val="00FB2893"/>
    <w:rsid w:val="00FC3452"/>
    <w:rsid w:val="00FC4B9B"/>
    <w:rsid w:val="00FD5734"/>
    <w:rsid w:val="00FD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7A3"/>
    <w:pPr>
      <w:ind w:left="720"/>
      <w:contextualSpacing/>
    </w:pPr>
  </w:style>
  <w:style w:type="character" w:customStyle="1" w:styleId="rvts0">
    <w:name w:val="rvts0"/>
    <w:basedOn w:val="a0"/>
    <w:rsid w:val="009746A6"/>
  </w:style>
  <w:style w:type="paragraph" w:styleId="a4">
    <w:name w:val="Balloon Text"/>
    <w:basedOn w:val="a"/>
    <w:link w:val="a5"/>
    <w:uiPriority w:val="99"/>
    <w:semiHidden/>
    <w:unhideWhenUsed/>
    <w:rsid w:val="00FC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C3452"/>
    <w:rPr>
      <w:rFonts w:ascii="Tahoma" w:hAnsi="Tahoma" w:cs="Tahoma"/>
      <w:sz w:val="16"/>
      <w:szCs w:val="16"/>
    </w:rPr>
  </w:style>
  <w:style w:type="paragraph" w:customStyle="1" w:styleId="a6">
    <w:name w:val="a"/>
    <w:basedOn w:val="a"/>
    <w:rsid w:val="009F5B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2">
    <w:name w:val="Основной текст (2)_"/>
    <w:link w:val="20"/>
    <w:rsid w:val="005D4532"/>
    <w:rPr>
      <w:b/>
      <w:bCs/>
      <w:spacing w:val="3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4532"/>
    <w:pPr>
      <w:widowControl w:val="0"/>
      <w:shd w:val="clear" w:color="auto" w:fill="FFFFFF"/>
      <w:spacing w:after="0" w:line="281" w:lineRule="exact"/>
      <w:jc w:val="center"/>
    </w:pPr>
    <w:rPr>
      <w:b/>
      <w:bCs/>
      <w:spacing w:val="3"/>
      <w:sz w:val="23"/>
      <w:szCs w:val="23"/>
    </w:rPr>
  </w:style>
  <w:style w:type="character" w:customStyle="1" w:styleId="apple-converted-space">
    <w:name w:val="apple-converted-space"/>
    <w:basedOn w:val="a0"/>
    <w:rsid w:val="0051404E"/>
  </w:style>
  <w:style w:type="paragraph" w:customStyle="1" w:styleId="rvps2">
    <w:name w:val="rvps2"/>
    <w:basedOn w:val="a"/>
    <w:rsid w:val="00EA79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D74BF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D74BF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74BF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D74BF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7A3"/>
    <w:pPr>
      <w:ind w:left="720"/>
      <w:contextualSpacing/>
    </w:pPr>
  </w:style>
  <w:style w:type="character" w:customStyle="1" w:styleId="rvts0">
    <w:name w:val="rvts0"/>
    <w:basedOn w:val="a0"/>
    <w:rsid w:val="009746A6"/>
  </w:style>
  <w:style w:type="paragraph" w:styleId="a4">
    <w:name w:val="Balloon Text"/>
    <w:basedOn w:val="a"/>
    <w:link w:val="a5"/>
    <w:uiPriority w:val="99"/>
    <w:semiHidden/>
    <w:unhideWhenUsed/>
    <w:rsid w:val="00FC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C3452"/>
    <w:rPr>
      <w:rFonts w:ascii="Tahoma" w:hAnsi="Tahoma" w:cs="Tahoma"/>
      <w:sz w:val="16"/>
      <w:szCs w:val="16"/>
    </w:rPr>
  </w:style>
  <w:style w:type="paragraph" w:customStyle="1" w:styleId="a6">
    <w:name w:val="a"/>
    <w:basedOn w:val="a"/>
    <w:rsid w:val="009F5B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2">
    <w:name w:val="Основной текст (2)_"/>
    <w:link w:val="20"/>
    <w:rsid w:val="005D4532"/>
    <w:rPr>
      <w:b/>
      <w:bCs/>
      <w:spacing w:val="3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4532"/>
    <w:pPr>
      <w:widowControl w:val="0"/>
      <w:shd w:val="clear" w:color="auto" w:fill="FFFFFF"/>
      <w:spacing w:after="0" w:line="281" w:lineRule="exact"/>
      <w:jc w:val="center"/>
    </w:pPr>
    <w:rPr>
      <w:b/>
      <w:bCs/>
      <w:spacing w:val="3"/>
      <w:sz w:val="23"/>
      <w:szCs w:val="23"/>
    </w:rPr>
  </w:style>
  <w:style w:type="character" w:customStyle="1" w:styleId="apple-converted-space">
    <w:name w:val="apple-converted-space"/>
    <w:basedOn w:val="a0"/>
    <w:rsid w:val="0051404E"/>
  </w:style>
  <w:style w:type="paragraph" w:customStyle="1" w:styleId="rvps2">
    <w:name w:val="rvps2"/>
    <w:basedOn w:val="a"/>
    <w:rsid w:val="00EA79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D74BF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D74BF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74BF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D74B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74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2027</Words>
  <Characters>1156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ZNN</dc:creator>
  <cp:lastModifiedBy>User</cp:lastModifiedBy>
  <cp:revision>2</cp:revision>
  <cp:lastPrinted>2020-03-27T13:31:00Z</cp:lastPrinted>
  <dcterms:created xsi:type="dcterms:W3CDTF">2020-11-20T10:10:00Z</dcterms:created>
  <dcterms:modified xsi:type="dcterms:W3CDTF">2020-11-20T10:10:00Z</dcterms:modified>
</cp:coreProperties>
</file>