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341"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341"/>
      </w:tblGrid>
      <w:tr w:rsidR="00085FD2" w:rsidRPr="00085FD2" w:rsidTr="00085FD2">
        <w:tc>
          <w:tcPr>
            <w:tcW w:w="11341" w:type="dxa"/>
            <w:tcBorders>
              <w:top w:val="nil"/>
              <w:left w:val="nil"/>
              <w:bottom w:val="nil"/>
              <w:right w:val="nil"/>
            </w:tcBorders>
          </w:tcPr>
          <w:p w:rsidR="00085FD2" w:rsidRPr="00085FD2" w:rsidRDefault="00085FD2" w:rsidP="00085FD2">
            <w:pPr>
              <w:rPr>
                <w:color w:val="002060"/>
                <w:sz w:val="32"/>
                <w:szCs w:val="32"/>
                <w:lang w:val="ru-RU" w:eastAsia="en-US"/>
              </w:rPr>
            </w:pPr>
          </w:p>
          <w:p w:rsidR="00085FD2" w:rsidRPr="00085FD2" w:rsidRDefault="00085FD2" w:rsidP="00085FD2">
            <w:pPr>
              <w:rPr>
                <w:color w:val="002060"/>
                <w:sz w:val="32"/>
                <w:szCs w:val="32"/>
                <w:lang w:val="ru-RU" w:eastAsia="en-US"/>
              </w:rPr>
            </w:pPr>
          </w:p>
          <w:p w:rsidR="00085FD2" w:rsidRPr="00085FD2" w:rsidRDefault="00085FD2" w:rsidP="00085FD2">
            <w:pPr>
              <w:rPr>
                <w:color w:val="002060"/>
                <w:sz w:val="32"/>
                <w:szCs w:val="32"/>
                <w:lang w:val="ru-RU" w:eastAsia="en-US"/>
              </w:rPr>
            </w:pPr>
          </w:p>
          <w:p w:rsidR="00085FD2" w:rsidRPr="00085FD2" w:rsidRDefault="00E61BF1" w:rsidP="00085FD2">
            <w:pPr>
              <w:spacing w:before="80"/>
              <w:jc w:val="center"/>
              <w:rPr>
                <w:color w:val="1829A8"/>
                <w:spacing w:val="20"/>
                <w:sz w:val="34"/>
                <w:szCs w:val="34"/>
                <w:lang w:val="ru-RU" w:eastAsia="en-US"/>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40" o:spid="_x0000_s1026" type="#_x0000_t75" style="position:absolute;left:0;text-align:left;margin-left:273.55pt;margin-top:-63.1pt;width:36.3pt;height:50.15pt;z-index:1;visibility:visible;mso-wrap-distance-top:28.35pt;mso-position-horizontal-relative:margin">
                  <v:imagedata r:id="rId5" o:title=""/>
                  <w10:wrap type="square" anchorx="margin"/>
                </v:shape>
              </w:pict>
            </w:r>
            <w:r w:rsidR="00085FD2" w:rsidRPr="00085FD2">
              <w:rPr>
                <w:color w:val="1829A8"/>
                <w:spacing w:val="20"/>
                <w:sz w:val="34"/>
                <w:szCs w:val="34"/>
                <w:lang w:eastAsia="en-US"/>
              </w:rPr>
              <w:t>ВЕРХОВНА РАДА УКРАЇНИ</w:t>
            </w:r>
          </w:p>
          <w:p w:rsidR="00085FD2" w:rsidRPr="00085FD2" w:rsidRDefault="00085FD2" w:rsidP="00085FD2">
            <w:pPr>
              <w:spacing w:before="100"/>
              <w:jc w:val="center"/>
              <w:rPr>
                <w:b/>
                <w:color w:val="1829A8"/>
                <w:spacing w:val="20"/>
                <w:sz w:val="24"/>
                <w:lang w:eastAsia="en-US"/>
              </w:rPr>
            </w:pPr>
            <w:r w:rsidRPr="00085FD2">
              <w:rPr>
                <w:b/>
                <w:color w:val="1829A8"/>
                <w:spacing w:val="20"/>
                <w:sz w:val="24"/>
                <w:lang w:eastAsia="en-US"/>
              </w:rPr>
              <w:t>Комітет з питань бюджету</w:t>
            </w:r>
          </w:p>
          <w:p w:rsidR="00085FD2" w:rsidRPr="00085FD2" w:rsidRDefault="00085FD2" w:rsidP="00085FD2">
            <w:pPr>
              <w:spacing w:before="160" w:after="60"/>
              <w:jc w:val="center"/>
              <w:rPr>
                <w:rFonts w:ascii="Calibri" w:hAnsi="Calibri"/>
                <w:color w:val="002060"/>
                <w:sz w:val="20"/>
                <w:szCs w:val="20"/>
                <w:lang w:val="ru-RU" w:eastAsia="en-US"/>
              </w:rPr>
            </w:pPr>
            <w:r w:rsidRPr="00085FD2">
              <w:rPr>
                <w:color w:val="1829A8"/>
                <w:sz w:val="20"/>
                <w:szCs w:val="20"/>
                <w:lang w:eastAsia="en-US"/>
              </w:rPr>
              <w:t>01008, м.Київ-8, вул. М. Грушевського, 5, тел.: 255-40-29, 255-43-61, факс: 255-41-23</w:t>
            </w:r>
          </w:p>
        </w:tc>
      </w:tr>
    </w:tbl>
    <w:p w:rsidR="003F6D11" w:rsidRPr="003F6D11" w:rsidRDefault="003F6D11" w:rsidP="003F6D11">
      <w:pPr>
        <w:rPr>
          <w:vanish/>
        </w:rPr>
      </w:pPr>
    </w:p>
    <w:tbl>
      <w:tblPr>
        <w:tblW w:w="12426" w:type="dxa"/>
        <w:tblInd w:w="-1680" w:type="dxa"/>
        <w:tblBorders>
          <w:top w:val="thinThickMediumGap" w:sz="12" w:space="0" w:color="0033CC"/>
        </w:tblBorders>
        <w:tblLook w:val="04A0" w:firstRow="1" w:lastRow="0" w:firstColumn="1" w:lastColumn="0" w:noHBand="0" w:noVBand="1"/>
      </w:tblPr>
      <w:tblGrid>
        <w:gridCol w:w="795"/>
        <w:gridCol w:w="11342"/>
        <w:gridCol w:w="289"/>
      </w:tblGrid>
      <w:tr w:rsidR="003F6D11" w:rsidRPr="00085FD2" w:rsidTr="003F6D11">
        <w:trPr>
          <w:trHeight w:val="20"/>
        </w:trPr>
        <w:tc>
          <w:tcPr>
            <w:tcW w:w="795" w:type="dxa"/>
            <w:tcBorders>
              <w:top w:val="nil"/>
            </w:tcBorders>
            <w:shd w:val="clear" w:color="auto" w:fill="auto"/>
          </w:tcPr>
          <w:p w:rsidR="00085FD2" w:rsidRPr="00085FD2" w:rsidRDefault="00085FD2" w:rsidP="003F6D11">
            <w:pPr>
              <w:rPr>
                <w:rFonts w:ascii="Calibri" w:hAnsi="Calibri"/>
                <w:color w:val="002060"/>
                <w:sz w:val="20"/>
                <w:szCs w:val="20"/>
                <w:lang w:eastAsia="en-US"/>
              </w:rPr>
            </w:pPr>
          </w:p>
        </w:tc>
        <w:tc>
          <w:tcPr>
            <w:tcW w:w="11342" w:type="dxa"/>
            <w:shd w:val="clear" w:color="auto" w:fill="auto"/>
          </w:tcPr>
          <w:p w:rsidR="00085FD2" w:rsidRPr="00085FD2" w:rsidRDefault="00085FD2" w:rsidP="003F6D11">
            <w:pPr>
              <w:rPr>
                <w:rFonts w:ascii="Calibri" w:hAnsi="Calibri"/>
                <w:color w:val="002060"/>
                <w:sz w:val="20"/>
                <w:szCs w:val="20"/>
                <w:lang w:eastAsia="en-US"/>
              </w:rPr>
            </w:pPr>
          </w:p>
        </w:tc>
        <w:tc>
          <w:tcPr>
            <w:tcW w:w="289" w:type="dxa"/>
            <w:tcBorders>
              <w:top w:val="nil"/>
            </w:tcBorders>
            <w:shd w:val="clear" w:color="auto" w:fill="auto"/>
          </w:tcPr>
          <w:p w:rsidR="00085FD2" w:rsidRPr="00085FD2" w:rsidRDefault="00085FD2" w:rsidP="003F6D11">
            <w:pPr>
              <w:rPr>
                <w:rFonts w:ascii="Calibri" w:hAnsi="Calibri"/>
                <w:color w:val="002060"/>
                <w:sz w:val="20"/>
                <w:szCs w:val="20"/>
                <w:lang w:eastAsia="en-US"/>
              </w:rPr>
            </w:pPr>
          </w:p>
        </w:tc>
      </w:tr>
    </w:tbl>
    <w:p w:rsidR="000B1256" w:rsidRDefault="000B1256" w:rsidP="00D34A5A">
      <w:pPr>
        <w:ind w:left="5245"/>
        <w:jc w:val="both"/>
        <w:rPr>
          <w:b/>
          <w:bCs/>
          <w:szCs w:val="28"/>
        </w:rPr>
      </w:pPr>
      <w:r w:rsidRPr="00E03EB1">
        <w:rPr>
          <w:b/>
          <w:bCs/>
          <w:szCs w:val="28"/>
        </w:rPr>
        <w:t xml:space="preserve">Комітет Верховної Ради України з питань </w:t>
      </w:r>
      <w:r>
        <w:rPr>
          <w:b/>
          <w:bCs/>
          <w:szCs w:val="28"/>
        </w:rPr>
        <w:t xml:space="preserve">правоохоронної діяльності </w:t>
      </w:r>
    </w:p>
    <w:p w:rsidR="00AD7F7E" w:rsidRPr="00085FD2" w:rsidRDefault="00FC0092" w:rsidP="00EF0D95">
      <w:pPr>
        <w:outlineLvl w:val="0"/>
        <w:rPr>
          <w:bCs/>
          <w:i/>
          <w:iCs/>
          <w:szCs w:val="28"/>
        </w:rPr>
      </w:pPr>
      <w:r w:rsidRPr="00085FD2">
        <w:rPr>
          <w:bCs/>
          <w:i/>
          <w:iCs/>
          <w:szCs w:val="28"/>
        </w:rPr>
        <w:t>До розгляду законопроекту</w:t>
      </w:r>
    </w:p>
    <w:p w:rsidR="00AD7F7E" w:rsidRDefault="00724167" w:rsidP="00EF0D95">
      <w:pPr>
        <w:outlineLvl w:val="0"/>
        <w:rPr>
          <w:bCs/>
          <w:i/>
          <w:szCs w:val="28"/>
        </w:rPr>
      </w:pPr>
      <w:r>
        <w:rPr>
          <w:bCs/>
          <w:i/>
          <w:szCs w:val="28"/>
        </w:rPr>
        <w:t xml:space="preserve">за </w:t>
      </w:r>
      <w:r w:rsidR="00AD7F7E" w:rsidRPr="00085FD2">
        <w:rPr>
          <w:bCs/>
          <w:i/>
          <w:szCs w:val="28"/>
        </w:rPr>
        <w:t>реєстр. №</w:t>
      </w:r>
      <w:r w:rsidR="00EC6231">
        <w:rPr>
          <w:bCs/>
          <w:i/>
          <w:szCs w:val="28"/>
        </w:rPr>
        <w:t>4</w:t>
      </w:r>
      <w:r w:rsidR="000E6895">
        <w:rPr>
          <w:bCs/>
          <w:i/>
          <w:szCs w:val="28"/>
        </w:rPr>
        <w:t>336</w:t>
      </w:r>
      <w:r w:rsidR="00724594">
        <w:rPr>
          <w:bCs/>
          <w:i/>
          <w:szCs w:val="28"/>
        </w:rPr>
        <w:t>-1</w:t>
      </w:r>
    </w:p>
    <w:p w:rsidR="00E61BF1" w:rsidRDefault="00E61BF1" w:rsidP="00EF0D95">
      <w:pPr>
        <w:outlineLvl w:val="0"/>
        <w:rPr>
          <w:bCs/>
          <w:i/>
          <w:szCs w:val="28"/>
        </w:rPr>
      </w:pPr>
    </w:p>
    <w:p w:rsidR="00232F45" w:rsidRDefault="000B1256" w:rsidP="00724594">
      <w:pPr>
        <w:ind w:firstLine="851"/>
        <w:jc w:val="both"/>
      </w:pPr>
      <w:r w:rsidRPr="00214C4C">
        <w:t>Комітет Верховної Ради України з питань бюджету на своєму засіданні</w:t>
      </w:r>
      <w:r w:rsidR="005A1383" w:rsidRPr="00214C4C">
        <w:t xml:space="preserve">                </w:t>
      </w:r>
      <w:r w:rsidRPr="00214C4C">
        <w:t xml:space="preserve"> </w:t>
      </w:r>
      <w:r w:rsidR="003524F9" w:rsidRPr="00214C4C">
        <w:t xml:space="preserve">  </w:t>
      </w:r>
      <w:r w:rsidR="00217D4F" w:rsidRPr="00214C4C">
        <w:t xml:space="preserve"> </w:t>
      </w:r>
      <w:r w:rsidR="000E6895">
        <w:t>1</w:t>
      </w:r>
      <w:r w:rsidR="002443BA">
        <w:t>6</w:t>
      </w:r>
      <w:r w:rsidR="00AC43B2">
        <w:t xml:space="preserve"> </w:t>
      </w:r>
      <w:r w:rsidR="002443BA">
        <w:t>грудня</w:t>
      </w:r>
      <w:r w:rsidR="005F7D8B" w:rsidRPr="00214C4C">
        <w:t xml:space="preserve"> 2020 року (</w:t>
      </w:r>
      <w:r w:rsidRPr="00214C4C">
        <w:t>протокол №</w:t>
      </w:r>
      <w:r w:rsidR="002443BA">
        <w:t>70</w:t>
      </w:r>
      <w:r w:rsidR="00A009F6">
        <w:t xml:space="preserve"> </w:t>
      </w:r>
      <w:r w:rsidRPr="00214C4C">
        <w:t xml:space="preserve">) </w:t>
      </w:r>
      <w:r w:rsidRPr="00214C4C">
        <w:rPr>
          <w:szCs w:val="28"/>
        </w:rPr>
        <w:t xml:space="preserve">відповідно до статей 27 і 109 Бюджетного кодексу України та статті 93 Регламенту Верховної Ради України розглянув </w:t>
      </w:r>
      <w:r w:rsidRPr="00214C4C">
        <w:t xml:space="preserve">проект Закону </w:t>
      </w:r>
      <w:r w:rsidR="00CC1889" w:rsidRPr="00AE4F5A">
        <w:rPr>
          <w:szCs w:val="28"/>
        </w:rPr>
        <w:t>про</w:t>
      </w:r>
      <w:r w:rsidR="002443BA" w:rsidRPr="00123CD6">
        <w:rPr>
          <w:szCs w:val="28"/>
        </w:rPr>
        <w:t xml:space="preserve"> </w:t>
      </w:r>
      <w:r w:rsidR="00724594" w:rsidRPr="00F316F6">
        <w:rPr>
          <w:color w:val="000000"/>
          <w:szCs w:val="28"/>
        </w:rPr>
        <w:t>внесення змін до Кодексу України про адміністративні правопорушення та Кримінального кодексу України для реалізації положень Закону України “Про цивільн</w:t>
      </w:r>
      <w:r w:rsidR="00724594" w:rsidRPr="00F316F6">
        <w:rPr>
          <w:szCs w:val="28"/>
        </w:rPr>
        <w:t>у</w:t>
      </w:r>
      <w:r w:rsidR="00724594" w:rsidRPr="00F316F6">
        <w:rPr>
          <w:color w:val="000000"/>
          <w:szCs w:val="28"/>
        </w:rPr>
        <w:t xml:space="preserve"> збро</w:t>
      </w:r>
      <w:r w:rsidR="00724594" w:rsidRPr="00F316F6">
        <w:rPr>
          <w:szCs w:val="28"/>
        </w:rPr>
        <w:t>ю</w:t>
      </w:r>
      <w:r w:rsidR="00724594" w:rsidRPr="00F316F6">
        <w:rPr>
          <w:color w:val="000000"/>
          <w:szCs w:val="28"/>
        </w:rPr>
        <w:t xml:space="preserve"> та бо</w:t>
      </w:r>
      <w:r w:rsidR="00724594" w:rsidRPr="00F316F6">
        <w:rPr>
          <w:szCs w:val="28"/>
        </w:rPr>
        <w:t>є</w:t>
      </w:r>
      <w:r w:rsidR="00724594" w:rsidRPr="00F316F6">
        <w:rPr>
          <w:color w:val="000000"/>
          <w:szCs w:val="28"/>
        </w:rPr>
        <w:t>припас</w:t>
      </w:r>
      <w:r w:rsidR="00724594" w:rsidRPr="00F316F6">
        <w:rPr>
          <w:szCs w:val="28"/>
        </w:rPr>
        <w:t>и</w:t>
      </w:r>
      <w:r w:rsidR="00724594" w:rsidRPr="00123CD6">
        <w:rPr>
          <w:szCs w:val="28"/>
        </w:rPr>
        <w:t xml:space="preserve"> (реєстр. № </w:t>
      </w:r>
      <w:r w:rsidR="00724594">
        <w:rPr>
          <w:szCs w:val="28"/>
        </w:rPr>
        <w:t>4336-1</w:t>
      </w:r>
      <w:r w:rsidR="00724594" w:rsidRPr="00123CD6">
        <w:rPr>
          <w:szCs w:val="28"/>
        </w:rPr>
        <w:t xml:space="preserve"> від </w:t>
      </w:r>
      <w:r w:rsidR="00724594">
        <w:rPr>
          <w:szCs w:val="28"/>
        </w:rPr>
        <w:t>24</w:t>
      </w:r>
      <w:r w:rsidR="00724594" w:rsidRPr="00123CD6">
        <w:rPr>
          <w:szCs w:val="28"/>
        </w:rPr>
        <w:t>.</w:t>
      </w:r>
      <w:r w:rsidR="00724594">
        <w:rPr>
          <w:szCs w:val="28"/>
        </w:rPr>
        <w:t>11</w:t>
      </w:r>
      <w:r w:rsidR="00724594" w:rsidRPr="00123CD6">
        <w:rPr>
          <w:szCs w:val="28"/>
        </w:rPr>
        <w:t xml:space="preserve">.2020), </w:t>
      </w:r>
      <w:r w:rsidR="00724594" w:rsidRPr="00123CD6">
        <w:rPr>
          <w:bCs/>
          <w:szCs w:val="28"/>
        </w:rPr>
        <w:t xml:space="preserve">поданий </w:t>
      </w:r>
      <w:r w:rsidR="00724594" w:rsidRPr="00123CD6">
        <w:rPr>
          <w:szCs w:val="28"/>
        </w:rPr>
        <w:t>народним депут</w:t>
      </w:r>
      <w:r w:rsidR="00724594">
        <w:rPr>
          <w:szCs w:val="28"/>
        </w:rPr>
        <w:t>а</w:t>
      </w:r>
      <w:r w:rsidR="00724594" w:rsidRPr="00123CD6">
        <w:rPr>
          <w:szCs w:val="28"/>
        </w:rPr>
        <w:t>т</w:t>
      </w:r>
      <w:r w:rsidR="00724594">
        <w:rPr>
          <w:szCs w:val="28"/>
        </w:rPr>
        <w:t>о</w:t>
      </w:r>
      <w:r w:rsidR="00724594" w:rsidRPr="00123CD6">
        <w:rPr>
          <w:szCs w:val="28"/>
        </w:rPr>
        <w:t>м</w:t>
      </w:r>
      <w:r w:rsidR="00724594">
        <w:rPr>
          <w:szCs w:val="28"/>
        </w:rPr>
        <w:t xml:space="preserve"> </w:t>
      </w:r>
      <w:r w:rsidR="00724594" w:rsidRPr="00123CD6">
        <w:rPr>
          <w:szCs w:val="28"/>
        </w:rPr>
        <w:t xml:space="preserve">України </w:t>
      </w:r>
      <w:r w:rsidR="00724594">
        <w:rPr>
          <w:szCs w:val="28"/>
        </w:rPr>
        <w:t>Шараськіним А.А.</w:t>
      </w:r>
      <w:r w:rsidR="00232F45" w:rsidRPr="00085FD2">
        <w:t>, і повідомляє наступне.</w:t>
      </w:r>
    </w:p>
    <w:p w:rsidR="00724594" w:rsidRDefault="00724594" w:rsidP="00724594">
      <w:pPr>
        <w:ind w:firstLine="851"/>
        <w:jc w:val="both"/>
        <w:rPr>
          <w:rStyle w:val="aa"/>
          <w:b w:val="0"/>
        </w:rPr>
      </w:pPr>
      <w:r w:rsidRPr="000A7EBF">
        <w:rPr>
          <w:rStyle w:val="aa"/>
          <w:b w:val="0"/>
        </w:rPr>
        <w:t>Згідно із запропонованими у законопроекті змінами</w:t>
      </w:r>
      <w:r>
        <w:rPr>
          <w:rStyle w:val="aa"/>
          <w:b w:val="0"/>
        </w:rPr>
        <w:t xml:space="preserve"> </w:t>
      </w:r>
      <w:r w:rsidRPr="00A22D46">
        <w:rPr>
          <w:rStyle w:val="aa"/>
          <w:b w:val="0"/>
        </w:rPr>
        <w:t>передбачається:</w:t>
      </w:r>
    </w:p>
    <w:p w:rsidR="00724594" w:rsidRPr="00F81366" w:rsidRDefault="00724594" w:rsidP="00724594">
      <w:pPr>
        <w:tabs>
          <w:tab w:val="left" w:pos="0"/>
        </w:tabs>
        <w:ind w:firstLine="851"/>
        <w:jc w:val="both"/>
        <w:rPr>
          <w:i/>
          <w:szCs w:val="28"/>
        </w:rPr>
      </w:pPr>
      <w:r w:rsidRPr="00F81366">
        <w:rPr>
          <w:color w:val="000000"/>
          <w:spacing w:val="-6"/>
          <w:szCs w:val="28"/>
        </w:rPr>
        <w:t>1) посилити</w:t>
      </w:r>
      <w:r w:rsidRPr="00F81366">
        <w:rPr>
          <w:szCs w:val="28"/>
        </w:rPr>
        <w:t xml:space="preserve"> адміністративну відповідальність шляхом збільшення штрафів, встановивши їх у розмірі від </w:t>
      </w:r>
      <w:r w:rsidRPr="00F81366">
        <w:rPr>
          <w:bCs/>
          <w:szCs w:val="28"/>
        </w:rPr>
        <w:t>п’ятдесяти</w:t>
      </w:r>
      <w:r w:rsidRPr="00DF4C24">
        <w:t xml:space="preserve"> </w:t>
      </w:r>
      <w:r w:rsidRPr="00F81366">
        <w:rPr>
          <w:color w:val="000000"/>
        </w:rPr>
        <w:t xml:space="preserve">неоподатковуваних мінімумів доходів </w:t>
      </w:r>
      <w:r w:rsidR="00EA3F3F">
        <w:rPr>
          <w:color w:val="000000"/>
        </w:rPr>
        <w:t xml:space="preserve">громадян </w:t>
      </w:r>
      <w:r>
        <w:t xml:space="preserve">до </w:t>
      </w:r>
      <w:r w:rsidRPr="00F81366">
        <w:rPr>
          <w:bCs/>
          <w:szCs w:val="28"/>
        </w:rPr>
        <w:t>п’яти тисяч</w:t>
      </w:r>
      <w:r w:rsidRPr="00F81366">
        <w:rPr>
          <w:szCs w:val="28"/>
        </w:rPr>
        <w:t xml:space="preserve"> </w:t>
      </w:r>
      <w:r w:rsidRPr="00F81366">
        <w:rPr>
          <w:color w:val="000000"/>
        </w:rPr>
        <w:t>неоподатковуваних мінімумів доходів</w:t>
      </w:r>
      <w:r w:rsidR="00EA3F3F">
        <w:rPr>
          <w:color w:val="000000"/>
        </w:rPr>
        <w:t xml:space="preserve"> громадян</w:t>
      </w:r>
      <w:r w:rsidRPr="00F81366">
        <w:rPr>
          <w:color w:val="000000"/>
        </w:rPr>
        <w:t xml:space="preserve"> </w:t>
      </w:r>
      <w:r w:rsidRPr="00F81366">
        <w:rPr>
          <w:i/>
          <w:szCs w:val="28"/>
        </w:rPr>
        <w:t>/виходячи із розміру встановленого на даний час неоподатковуваного мінімуму доходів</w:t>
      </w:r>
      <w:r w:rsidRPr="00F81366">
        <w:rPr>
          <w:i/>
        </w:rPr>
        <w:t xml:space="preserve"> громадян 17 грн,  розмір штрафу становитиме 850 – 85 000 грн./, </w:t>
      </w:r>
      <w:r w:rsidRPr="00EB2853">
        <w:t>серед іншого</w:t>
      </w:r>
      <w:r w:rsidRPr="00F81366">
        <w:rPr>
          <w:szCs w:val="28"/>
        </w:rPr>
        <w:t xml:space="preserve"> за</w:t>
      </w:r>
      <w:r w:rsidRPr="00F81366">
        <w:rPr>
          <w:color w:val="000000"/>
          <w:szCs w:val="28"/>
        </w:rPr>
        <w:t xml:space="preserve"> </w:t>
      </w:r>
      <w:r w:rsidRPr="00F81366">
        <w:rPr>
          <w:color w:val="000000"/>
        </w:rPr>
        <w:t>п</w:t>
      </w:r>
      <w:r w:rsidRPr="00DF4C24">
        <w:t xml:space="preserve">орушення громадянами порядку придбання, зберігання, передачі іншим особам або продажу </w:t>
      </w:r>
      <w:r w:rsidRPr="00F81366">
        <w:rPr>
          <w:bCs/>
        </w:rPr>
        <w:t xml:space="preserve">цивільної </w:t>
      </w:r>
      <w:r w:rsidRPr="00DF4C24">
        <w:t>зброї</w:t>
      </w:r>
      <w:r>
        <w:t>;</w:t>
      </w:r>
      <w:r w:rsidRPr="00F81366">
        <w:rPr>
          <w:szCs w:val="28"/>
        </w:rPr>
        <w:t xml:space="preserve"> </w:t>
      </w:r>
      <w:r w:rsidRPr="00F81366">
        <w:rPr>
          <w:color w:val="000000"/>
          <w:szCs w:val="28"/>
        </w:rPr>
        <w:t>п</w:t>
      </w:r>
      <w:r w:rsidRPr="00F81366">
        <w:rPr>
          <w:szCs w:val="28"/>
        </w:rPr>
        <w:t xml:space="preserve">орушення правил зберігання або </w:t>
      </w:r>
      <w:r w:rsidRPr="00F81366">
        <w:rPr>
          <w:bCs/>
          <w:szCs w:val="28"/>
        </w:rPr>
        <w:t>транспортування</w:t>
      </w:r>
      <w:r w:rsidRPr="00F81366">
        <w:rPr>
          <w:szCs w:val="28"/>
        </w:rPr>
        <w:t xml:space="preserve"> </w:t>
      </w:r>
      <w:r w:rsidRPr="00F81366">
        <w:rPr>
          <w:bCs/>
          <w:szCs w:val="28"/>
        </w:rPr>
        <w:t>цивільної</w:t>
      </w:r>
      <w:r w:rsidRPr="00F81366">
        <w:rPr>
          <w:szCs w:val="28"/>
        </w:rPr>
        <w:t xml:space="preserve"> зброї і бойових припасів; </w:t>
      </w:r>
      <w:r w:rsidRPr="00F81366">
        <w:rPr>
          <w:color w:val="000000"/>
          <w:szCs w:val="28"/>
        </w:rPr>
        <w:t>п</w:t>
      </w:r>
      <w:r w:rsidRPr="00F81366">
        <w:rPr>
          <w:szCs w:val="28"/>
        </w:rPr>
        <w:t xml:space="preserve">орушення </w:t>
      </w:r>
      <w:r w:rsidRPr="00F81366">
        <w:rPr>
          <w:bCs/>
          <w:szCs w:val="28"/>
        </w:rPr>
        <w:t>строків повідомлення про зміну місця постійного зберігання цивільної зброї;</w:t>
      </w:r>
      <w:r w:rsidRPr="00F81366">
        <w:rPr>
          <w:color w:val="000000"/>
          <w:szCs w:val="28"/>
        </w:rPr>
        <w:t xml:space="preserve"> у</w:t>
      </w:r>
      <w:r w:rsidRPr="00F81366">
        <w:rPr>
          <w:szCs w:val="28"/>
        </w:rPr>
        <w:t xml:space="preserve">хилення від реалізації </w:t>
      </w:r>
      <w:r w:rsidRPr="00F81366">
        <w:rPr>
          <w:bCs/>
          <w:szCs w:val="28"/>
        </w:rPr>
        <w:t>цивільної</w:t>
      </w:r>
      <w:r w:rsidRPr="00F81366">
        <w:rPr>
          <w:szCs w:val="28"/>
        </w:rPr>
        <w:t xml:space="preserve"> зброї і бойових припасів; порушення працівниками торговельних підприємств (організацій) порядку продажу </w:t>
      </w:r>
      <w:r w:rsidRPr="00F81366">
        <w:rPr>
          <w:bCs/>
          <w:szCs w:val="28"/>
        </w:rPr>
        <w:t>цивільної</w:t>
      </w:r>
      <w:r w:rsidRPr="00F81366">
        <w:rPr>
          <w:szCs w:val="28"/>
        </w:rPr>
        <w:t xml:space="preserve"> зброї і бойових припасів</w:t>
      </w:r>
      <w:r w:rsidR="00EA3F3F">
        <w:rPr>
          <w:szCs w:val="28"/>
        </w:rPr>
        <w:t>;</w:t>
      </w:r>
      <w:r w:rsidRPr="00F81366">
        <w:rPr>
          <w:szCs w:val="28"/>
        </w:rPr>
        <w:t xml:space="preserve"> порушення працівниками підприємств, установ, організацій правил зберігання або транспортування  </w:t>
      </w:r>
      <w:r w:rsidRPr="00F81366">
        <w:rPr>
          <w:bCs/>
          <w:szCs w:val="28"/>
        </w:rPr>
        <w:t>цивільної</w:t>
      </w:r>
      <w:r w:rsidRPr="00F81366">
        <w:rPr>
          <w:szCs w:val="28"/>
        </w:rPr>
        <w:t xml:space="preserve"> </w:t>
      </w:r>
      <w:r w:rsidRPr="00F81366">
        <w:rPr>
          <w:bCs/>
          <w:szCs w:val="28"/>
        </w:rPr>
        <w:t>зброї і бойових припасів</w:t>
      </w:r>
      <w:r>
        <w:rPr>
          <w:bCs/>
          <w:szCs w:val="28"/>
        </w:rPr>
        <w:t xml:space="preserve"> </w:t>
      </w:r>
      <w:r w:rsidRPr="00F81366">
        <w:rPr>
          <w:bCs/>
          <w:i/>
          <w:szCs w:val="28"/>
        </w:rPr>
        <w:t>(зміни до статей 190-195</w:t>
      </w:r>
      <w:r w:rsidRPr="00F81366">
        <w:rPr>
          <w:i/>
          <w:color w:val="000000"/>
          <w:spacing w:val="-6"/>
          <w:szCs w:val="28"/>
        </w:rPr>
        <w:t xml:space="preserve"> Кодексу України про адміністративні правопорушення);</w:t>
      </w:r>
    </w:p>
    <w:p w:rsidR="00724594" w:rsidRPr="00EA3F3F" w:rsidRDefault="00724594" w:rsidP="00724594">
      <w:pPr>
        <w:ind w:firstLine="851"/>
        <w:jc w:val="both"/>
        <w:rPr>
          <w:i/>
        </w:rPr>
      </w:pPr>
      <w:r>
        <w:rPr>
          <w:color w:val="000000"/>
          <w:spacing w:val="-6"/>
          <w:szCs w:val="28"/>
        </w:rPr>
        <w:t xml:space="preserve">2) </w:t>
      </w:r>
      <w:r w:rsidRPr="00F81366">
        <w:rPr>
          <w:color w:val="000000"/>
          <w:spacing w:val="-6"/>
          <w:szCs w:val="28"/>
        </w:rPr>
        <w:t xml:space="preserve">встановити </w:t>
      </w:r>
      <w:r w:rsidRPr="00F81366">
        <w:rPr>
          <w:szCs w:val="28"/>
        </w:rPr>
        <w:t xml:space="preserve">адміністративну відповідальність у вигляді </w:t>
      </w:r>
      <w:r w:rsidRPr="00F81366">
        <w:t xml:space="preserve">штрафу від ста до п’ятисот неоподатковуваних мінімумів доходів громадян з позбавленням права на володіння цивільною зброєю та бойовими припасами до неї – за втрату цивільної зброї з вини власника </w:t>
      </w:r>
      <w:r w:rsidRPr="00EA3F3F">
        <w:rPr>
          <w:i/>
        </w:rPr>
        <w:t>(стаття 191 Кодексу України про адміністративні правопорушення);</w:t>
      </w:r>
    </w:p>
    <w:p w:rsidR="00724594" w:rsidRDefault="00724594" w:rsidP="00724594">
      <w:pPr>
        <w:autoSpaceDE w:val="0"/>
        <w:autoSpaceDN w:val="0"/>
        <w:adjustRightInd w:val="0"/>
        <w:ind w:firstLine="851"/>
        <w:jc w:val="both"/>
        <w:rPr>
          <w:szCs w:val="28"/>
        </w:rPr>
      </w:pPr>
      <w:r w:rsidRPr="006D0FDD">
        <w:rPr>
          <w:szCs w:val="28"/>
          <w:lang w:eastAsia="uk-UA"/>
        </w:rPr>
        <w:t>3) статтю 36 Кримінального кодексу України викласти в новій редакції та уточнити випадки, у разі яких з особи знімається кримінальна відповідальність за використання будь-якої зброї.</w:t>
      </w:r>
      <w:r w:rsidRPr="006D0FDD">
        <w:rPr>
          <w:szCs w:val="28"/>
        </w:rPr>
        <w:t xml:space="preserve"> </w:t>
      </w:r>
    </w:p>
    <w:p w:rsidR="00724594" w:rsidRPr="00C91F3B" w:rsidRDefault="00724594" w:rsidP="00724594">
      <w:pPr>
        <w:shd w:val="clear" w:color="auto" w:fill="FFFFFF"/>
        <w:ind w:firstLine="851"/>
        <w:jc w:val="both"/>
        <w:textAlignment w:val="baseline"/>
      </w:pPr>
      <w:r>
        <w:lastRenderedPageBreak/>
        <w:t>У разі виявлення відповідних правопорушень р</w:t>
      </w:r>
      <w:r w:rsidRPr="008F32F1">
        <w:t>еалізація положень законопроекту може призвести до збільшення дох</w:t>
      </w:r>
      <w:r>
        <w:t xml:space="preserve">одів </w:t>
      </w:r>
      <w:r w:rsidRPr="008F32F1">
        <w:t>державного бюджету</w:t>
      </w:r>
      <w:r>
        <w:t xml:space="preserve">                      (</w:t>
      </w:r>
      <w:r w:rsidRPr="008F32F1">
        <w:t>оскільки відповідно до пункту 23 частини другої статті 29 Бюджетного кодексу України до доходів загального фонду Державного бюджету України, зокрема віднесено кошти від санкцій (штрафи, пеня тощо), що застосовуються відповідно до закону</w:t>
      </w:r>
      <w:r>
        <w:t>).</w:t>
      </w:r>
      <w:r w:rsidRPr="00C91F3B">
        <w:t xml:space="preserve"> Міністерств</w:t>
      </w:r>
      <w:r>
        <w:t>о</w:t>
      </w:r>
      <w:r w:rsidRPr="00C91F3B">
        <w:t xml:space="preserve"> фінансів України </w:t>
      </w:r>
      <w:r>
        <w:t xml:space="preserve">також зазначаючи про </w:t>
      </w:r>
      <w:r w:rsidR="00EA3F3F">
        <w:t>таке</w:t>
      </w:r>
      <w:r>
        <w:t>, відмічає, що загальний вплив на показники державного бюджету буде залежати від кількості правопорушників та конкретного виду покарань, які будуть до них застосовані</w:t>
      </w:r>
      <w:r w:rsidRPr="00C91F3B">
        <w:t>.</w:t>
      </w:r>
    </w:p>
    <w:p w:rsidR="00724594" w:rsidRPr="008F32F1" w:rsidRDefault="00724594" w:rsidP="00724594">
      <w:pPr>
        <w:shd w:val="clear" w:color="auto" w:fill="FFFFFF"/>
        <w:tabs>
          <w:tab w:val="left" w:pos="974"/>
        </w:tabs>
        <w:ind w:firstLine="851"/>
        <w:contextualSpacing/>
        <w:jc w:val="both"/>
      </w:pPr>
      <w:r w:rsidRPr="008F32F1">
        <w:t xml:space="preserve">Тому, відповідно до вимог частини першої статті 27 Бюджетного кодексу України та частини третьої статті 91 Регламенту Верховної Ради України суб’єкту права законодавчої ініціативи належало надати до законопроекту фінансово-економічне обґрунтування (включаючи відповідні розрахунки). </w:t>
      </w:r>
    </w:p>
    <w:p w:rsidR="00724594" w:rsidRPr="005C35D7" w:rsidRDefault="002E1479" w:rsidP="00724594">
      <w:pPr>
        <w:ind w:firstLine="851"/>
        <w:jc w:val="both"/>
      </w:pPr>
      <w:bookmarkStart w:id="0" w:name="_GoBack"/>
      <w:r w:rsidRPr="00085FD2">
        <w:rPr>
          <w:szCs w:val="28"/>
        </w:rPr>
        <w:t xml:space="preserve">За наслідками розгляду Комітет ухвалив рішення, що </w:t>
      </w:r>
      <w:r>
        <w:t>п</w:t>
      </w:r>
      <w:r w:rsidRPr="00B32517">
        <w:t xml:space="preserve">роект Закону </w:t>
      </w:r>
      <w:r w:rsidR="00724594" w:rsidRPr="00030EB1">
        <w:t xml:space="preserve">про </w:t>
      </w:r>
      <w:r w:rsidR="00724594" w:rsidRPr="00F316F6">
        <w:rPr>
          <w:color w:val="000000"/>
          <w:szCs w:val="28"/>
        </w:rPr>
        <w:t xml:space="preserve">внесення змін до Кодексу України про адміністративні правопорушення та Кримінального кодексу України для реалізації положень Закону України </w:t>
      </w:r>
      <w:r w:rsidR="00EA3F3F">
        <w:rPr>
          <w:color w:val="000000"/>
          <w:szCs w:val="28"/>
        </w:rPr>
        <w:t>«</w:t>
      </w:r>
      <w:r w:rsidR="00724594" w:rsidRPr="00F316F6">
        <w:rPr>
          <w:color w:val="000000"/>
          <w:szCs w:val="28"/>
        </w:rPr>
        <w:t>Про цивільн</w:t>
      </w:r>
      <w:r w:rsidR="00724594" w:rsidRPr="00F316F6">
        <w:rPr>
          <w:szCs w:val="28"/>
        </w:rPr>
        <w:t>у</w:t>
      </w:r>
      <w:r w:rsidR="00724594" w:rsidRPr="00F316F6">
        <w:rPr>
          <w:color w:val="000000"/>
          <w:szCs w:val="28"/>
        </w:rPr>
        <w:t xml:space="preserve"> збро</w:t>
      </w:r>
      <w:r w:rsidR="00724594" w:rsidRPr="00F316F6">
        <w:rPr>
          <w:szCs w:val="28"/>
        </w:rPr>
        <w:t>ю</w:t>
      </w:r>
      <w:r w:rsidR="00724594" w:rsidRPr="00F316F6">
        <w:rPr>
          <w:color w:val="000000"/>
          <w:szCs w:val="28"/>
        </w:rPr>
        <w:t xml:space="preserve"> та бо</w:t>
      </w:r>
      <w:r w:rsidR="00724594" w:rsidRPr="00F316F6">
        <w:rPr>
          <w:szCs w:val="28"/>
        </w:rPr>
        <w:t>є</w:t>
      </w:r>
      <w:r w:rsidR="00724594" w:rsidRPr="00F316F6">
        <w:rPr>
          <w:color w:val="000000"/>
          <w:szCs w:val="28"/>
        </w:rPr>
        <w:t>припас</w:t>
      </w:r>
      <w:r w:rsidR="00724594" w:rsidRPr="00F316F6">
        <w:rPr>
          <w:szCs w:val="28"/>
        </w:rPr>
        <w:t>и</w:t>
      </w:r>
      <w:r w:rsidR="00EA3F3F">
        <w:rPr>
          <w:szCs w:val="28"/>
        </w:rPr>
        <w:t>»</w:t>
      </w:r>
      <w:r w:rsidR="00724594" w:rsidRPr="00123CD6">
        <w:rPr>
          <w:szCs w:val="28"/>
        </w:rPr>
        <w:t xml:space="preserve"> (реєстр. № </w:t>
      </w:r>
      <w:r w:rsidR="00724594">
        <w:rPr>
          <w:szCs w:val="28"/>
        </w:rPr>
        <w:t>4336-1</w:t>
      </w:r>
      <w:r w:rsidR="00724594" w:rsidRPr="00123CD6">
        <w:rPr>
          <w:szCs w:val="28"/>
        </w:rPr>
        <w:t xml:space="preserve"> від </w:t>
      </w:r>
      <w:r w:rsidR="00724594">
        <w:rPr>
          <w:szCs w:val="28"/>
        </w:rPr>
        <w:t>24</w:t>
      </w:r>
      <w:r w:rsidR="00724594" w:rsidRPr="00123CD6">
        <w:rPr>
          <w:szCs w:val="28"/>
        </w:rPr>
        <w:t>.</w:t>
      </w:r>
      <w:r w:rsidR="00724594">
        <w:rPr>
          <w:szCs w:val="28"/>
        </w:rPr>
        <w:t>11</w:t>
      </w:r>
      <w:r w:rsidR="00724594" w:rsidRPr="00123CD6">
        <w:rPr>
          <w:szCs w:val="28"/>
        </w:rPr>
        <w:t xml:space="preserve">.2020), </w:t>
      </w:r>
      <w:r w:rsidR="00724594" w:rsidRPr="00123CD6">
        <w:rPr>
          <w:bCs/>
          <w:szCs w:val="28"/>
        </w:rPr>
        <w:t xml:space="preserve">поданий </w:t>
      </w:r>
      <w:r w:rsidR="00724594" w:rsidRPr="00123CD6">
        <w:rPr>
          <w:szCs w:val="28"/>
        </w:rPr>
        <w:t>народним депут</w:t>
      </w:r>
      <w:r w:rsidR="00724594">
        <w:rPr>
          <w:szCs w:val="28"/>
        </w:rPr>
        <w:t>а</w:t>
      </w:r>
      <w:r w:rsidR="00724594" w:rsidRPr="00123CD6">
        <w:rPr>
          <w:szCs w:val="28"/>
        </w:rPr>
        <w:t>т</w:t>
      </w:r>
      <w:r w:rsidR="00724594">
        <w:rPr>
          <w:szCs w:val="28"/>
        </w:rPr>
        <w:t>о</w:t>
      </w:r>
      <w:r w:rsidR="00724594" w:rsidRPr="00123CD6">
        <w:rPr>
          <w:szCs w:val="28"/>
        </w:rPr>
        <w:t>м</w:t>
      </w:r>
      <w:r w:rsidR="00724594">
        <w:rPr>
          <w:szCs w:val="28"/>
        </w:rPr>
        <w:t xml:space="preserve"> </w:t>
      </w:r>
      <w:r w:rsidR="00724594" w:rsidRPr="00123CD6">
        <w:rPr>
          <w:szCs w:val="28"/>
        </w:rPr>
        <w:t xml:space="preserve">України </w:t>
      </w:r>
      <w:r w:rsidR="00724594">
        <w:rPr>
          <w:szCs w:val="28"/>
        </w:rPr>
        <w:t>Шараськіним А.А.</w:t>
      </w:r>
      <w:r w:rsidR="00724594" w:rsidRPr="005C35D7">
        <w:t>, має опосередкований вплив</w:t>
      </w:r>
      <w:r w:rsidR="00724594" w:rsidRPr="005C35D7">
        <w:rPr>
          <w:b/>
        </w:rPr>
        <w:t xml:space="preserve"> </w:t>
      </w:r>
      <w:r w:rsidR="00724594" w:rsidRPr="005C35D7">
        <w:t>на показники державного бюджету (може призвести до збільшення доходів залежно від виявлених правопорушень). У разі прийняття відповідного закону він може набирати чинності згідно із законодавством.</w:t>
      </w:r>
    </w:p>
    <w:p w:rsidR="001F1AEF" w:rsidRDefault="001F1AEF" w:rsidP="00DE4D73">
      <w:pPr>
        <w:ind w:firstLine="851"/>
        <w:jc w:val="both"/>
      </w:pPr>
    </w:p>
    <w:bookmarkEnd w:id="0"/>
    <w:p w:rsidR="00232F45" w:rsidRDefault="00232F45" w:rsidP="00DE4D73">
      <w:pPr>
        <w:ind w:firstLine="851"/>
        <w:jc w:val="both"/>
      </w:pPr>
    </w:p>
    <w:p w:rsidR="00393D88" w:rsidRDefault="00393D88" w:rsidP="006907C5">
      <w:pPr>
        <w:ind w:firstLine="840"/>
        <w:jc w:val="both"/>
      </w:pPr>
    </w:p>
    <w:p w:rsidR="000142D1" w:rsidRPr="005A1383" w:rsidRDefault="000142D1" w:rsidP="000142D1">
      <w:pPr>
        <w:pStyle w:val="a3"/>
        <w:ind w:left="0"/>
        <w:rPr>
          <w:b w:val="0"/>
          <w:sz w:val="12"/>
          <w:szCs w:val="12"/>
          <w:lang w:val="uk-UA"/>
        </w:rPr>
      </w:pPr>
      <w:r w:rsidRPr="005A1383">
        <w:rPr>
          <w:szCs w:val="28"/>
          <w:lang w:val="uk-UA"/>
        </w:rPr>
        <w:t>Голова Комітету</w:t>
      </w:r>
      <w:r w:rsidRPr="005A1383">
        <w:rPr>
          <w:szCs w:val="28"/>
          <w:lang w:val="uk-UA"/>
        </w:rPr>
        <w:tab/>
      </w:r>
      <w:r w:rsidRPr="005A1383">
        <w:rPr>
          <w:szCs w:val="28"/>
          <w:lang w:val="uk-UA"/>
        </w:rPr>
        <w:tab/>
      </w:r>
      <w:r w:rsidRPr="005A1383">
        <w:rPr>
          <w:szCs w:val="28"/>
          <w:lang w:val="uk-UA"/>
        </w:rPr>
        <w:tab/>
      </w:r>
      <w:r w:rsidRPr="005A1383">
        <w:rPr>
          <w:szCs w:val="28"/>
          <w:lang w:val="uk-UA"/>
        </w:rPr>
        <w:tab/>
        <w:t xml:space="preserve">                    </w:t>
      </w:r>
      <w:r w:rsidRPr="005A1383">
        <w:rPr>
          <w:szCs w:val="28"/>
          <w:lang w:val="uk-UA"/>
        </w:rPr>
        <w:tab/>
      </w:r>
      <w:r w:rsidRPr="005A1383">
        <w:rPr>
          <w:szCs w:val="28"/>
          <w:lang w:val="uk-UA"/>
        </w:rPr>
        <w:tab/>
      </w:r>
      <w:r w:rsidR="009019F3" w:rsidRPr="005A1383">
        <w:rPr>
          <w:szCs w:val="28"/>
          <w:lang w:val="uk-UA"/>
        </w:rPr>
        <w:t xml:space="preserve">       </w:t>
      </w:r>
      <w:r w:rsidR="001011E7">
        <w:rPr>
          <w:szCs w:val="28"/>
          <w:lang w:val="uk-UA"/>
        </w:rPr>
        <w:t xml:space="preserve">  </w:t>
      </w:r>
      <w:r w:rsidR="009019F3" w:rsidRPr="005A1383">
        <w:rPr>
          <w:szCs w:val="28"/>
          <w:lang w:val="uk-UA"/>
        </w:rPr>
        <w:t xml:space="preserve"> </w:t>
      </w:r>
      <w:r w:rsidR="005A1383">
        <w:rPr>
          <w:szCs w:val="28"/>
          <w:lang w:val="uk-UA"/>
        </w:rPr>
        <w:t>Ю.Ю. Арістов</w:t>
      </w:r>
    </w:p>
    <w:sectPr w:rsidR="000142D1" w:rsidRPr="005A1383" w:rsidSect="002E1479">
      <w:pgSz w:w="11906" w:h="16838" w:code="9"/>
      <w:pgMar w:top="851" w:right="851" w:bottom="851" w:left="1418" w:header="346" w:footer="709" w:gutter="0"/>
      <w:paperSrc w:first="7"/>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9C4690F2"/>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013E64FA"/>
    <w:multiLevelType w:val="hybridMultilevel"/>
    <w:tmpl w:val="A01A867A"/>
    <w:lvl w:ilvl="0" w:tplc="9836EBFC">
      <w:numFmt w:val="bullet"/>
      <w:lvlText w:val="-"/>
      <w:lvlJc w:val="left"/>
      <w:pPr>
        <w:ind w:left="1211" w:hanging="360"/>
      </w:pPr>
      <w:rPr>
        <w:rFonts w:ascii="Times New Roman" w:eastAsia="Times New Roman" w:hAnsi="Times New Roman" w:cs="Times New Roman" w:hint="default"/>
      </w:rPr>
    </w:lvl>
    <w:lvl w:ilvl="1" w:tplc="04220003" w:tentative="1">
      <w:start w:val="1"/>
      <w:numFmt w:val="bullet"/>
      <w:lvlText w:val="o"/>
      <w:lvlJc w:val="left"/>
      <w:pPr>
        <w:ind w:left="1931" w:hanging="360"/>
      </w:pPr>
      <w:rPr>
        <w:rFonts w:ascii="Courier New" w:hAnsi="Courier New" w:cs="Courier New" w:hint="default"/>
      </w:rPr>
    </w:lvl>
    <w:lvl w:ilvl="2" w:tplc="04220005" w:tentative="1">
      <w:start w:val="1"/>
      <w:numFmt w:val="bullet"/>
      <w:lvlText w:val=""/>
      <w:lvlJc w:val="left"/>
      <w:pPr>
        <w:ind w:left="2651" w:hanging="360"/>
      </w:pPr>
      <w:rPr>
        <w:rFonts w:ascii="Wingdings" w:hAnsi="Wingdings" w:hint="default"/>
      </w:rPr>
    </w:lvl>
    <w:lvl w:ilvl="3" w:tplc="04220001" w:tentative="1">
      <w:start w:val="1"/>
      <w:numFmt w:val="bullet"/>
      <w:lvlText w:val=""/>
      <w:lvlJc w:val="left"/>
      <w:pPr>
        <w:ind w:left="3371" w:hanging="360"/>
      </w:pPr>
      <w:rPr>
        <w:rFonts w:ascii="Symbol" w:hAnsi="Symbol" w:hint="default"/>
      </w:rPr>
    </w:lvl>
    <w:lvl w:ilvl="4" w:tplc="04220003" w:tentative="1">
      <w:start w:val="1"/>
      <w:numFmt w:val="bullet"/>
      <w:lvlText w:val="o"/>
      <w:lvlJc w:val="left"/>
      <w:pPr>
        <w:ind w:left="4091" w:hanging="360"/>
      </w:pPr>
      <w:rPr>
        <w:rFonts w:ascii="Courier New" w:hAnsi="Courier New" w:cs="Courier New" w:hint="default"/>
      </w:rPr>
    </w:lvl>
    <w:lvl w:ilvl="5" w:tplc="04220005" w:tentative="1">
      <w:start w:val="1"/>
      <w:numFmt w:val="bullet"/>
      <w:lvlText w:val=""/>
      <w:lvlJc w:val="left"/>
      <w:pPr>
        <w:ind w:left="4811" w:hanging="360"/>
      </w:pPr>
      <w:rPr>
        <w:rFonts w:ascii="Wingdings" w:hAnsi="Wingdings" w:hint="default"/>
      </w:rPr>
    </w:lvl>
    <w:lvl w:ilvl="6" w:tplc="04220001" w:tentative="1">
      <w:start w:val="1"/>
      <w:numFmt w:val="bullet"/>
      <w:lvlText w:val=""/>
      <w:lvlJc w:val="left"/>
      <w:pPr>
        <w:ind w:left="5531" w:hanging="360"/>
      </w:pPr>
      <w:rPr>
        <w:rFonts w:ascii="Symbol" w:hAnsi="Symbol" w:hint="default"/>
      </w:rPr>
    </w:lvl>
    <w:lvl w:ilvl="7" w:tplc="04220003" w:tentative="1">
      <w:start w:val="1"/>
      <w:numFmt w:val="bullet"/>
      <w:lvlText w:val="o"/>
      <w:lvlJc w:val="left"/>
      <w:pPr>
        <w:ind w:left="6251" w:hanging="360"/>
      </w:pPr>
      <w:rPr>
        <w:rFonts w:ascii="Courier New" w:hAnsi="Courier New" w:cs="Courier New" w:hint="default"/>
      </w:rPr>
    </w:lvl>
    <w:lvl w:ilvl="8" w:tplc="04220005" w:tentative="1">
      <w:start w:val="1"/>
      <w:numFmt w:val="bullet"/>
      <w:lvlText w:val=""/>
      <w:lvlJc w:val="left"/>
      <w:pPr>
        <w:ind w:left="6971" w:hanging="360"/>
      </w:pPr>
      <w:rPr>
        <w:rFonts w:ascii="Wingdings" w:hAnsi="Wingdings" w:hint="default"/>
      </w:rPr>
    </w:lvl>
  </w:abstractNum>
  <w:abstractNum w:abstractNumId="2" w15:restartNumberingAfterBreak="0">
    <w:nsid w:val="2EFF1920"/>
    <w:multiLevelType w:val="hybridMultilevel"/>
    <w:tmpl w:val="0EF2A258"/>
    <w:lvl w:ilvl="0" w:tplc="3148034C">
      <w:start w:val="65535"/>
      <w:numFmt w:val="bullet"/>
      <w:lvlText w:val="–"/>
      <w:lvlJc w:val="left"/>
      <w:pPr>
        <w:tabs>
          <w:tab w:val="num" w:pos="1632"/>
        </w:tabs>
        <w:ind w:left="912" w:firstLine="0"/>
      </w:pPr>
      <w:rPr>
        <w:rFonts w:ascii="Times New Roman" w:hAnsi="Times New Roman" w:cs="Times New Roman" w:hint="default"/>
      </w:rPr>
    </w:lvl>
    <w:lvl w:ilvl="1" w:tplc="04190003" w:tentative="1">
      <w:start w:val="1"/>
      <w:numFmt w:val="bullet"/>
      <w:lvlText w:val="o"/>
      <w:lvlJc w:val="left"/>
      <w:pPr>
        <w:tabs>
          <w:tab w:val="num" w:pos="2352"/>
        </w:tabs>
        <w:ind w:left="2352" w:hanging="360"/>
      </w:pPr>
      <w:rPr>
        <w:rFonts w:ascii="Courier New" w:hAnsi="Courier New" w:cs="Courier New" w:hint="default"/>
      </w:rPr>
    </w:lvl>
    <w:lvl w:ilvl="2" w:tplc="04190005" w:tentative="1">
      <w:start w:val="1"/>
      <w:numFmt w:val="bullet"/>
      <w:lvlText w:val=""/>
      <w:lvlJc w:val="left"/>
      <w:pPr>
        <w:tabs>
          <w:tab w:val="num" w:pos="3072"/>
        </w:tabs>
        <w:ind w:left="3072" w:hanging="360"/>
      </w:pPr>
      <w:rPr>
        <w:rFonts w:ascii="Wingdings" w:hAnsi="Wingdings" w:hint="default"/>
      </w:rPr>
    </w:lvl>
    <w:lvl w:ilvl="3" w:tplc="04190001" w:tentative="1">
      <w:start w:val="1"/>
      <w:numFmt w:val="bullet"/>
      <w:lvlText w:val=""/>
      <w:lvlJc w:val="left"/>
      <w:pPr>
        <w:tabs>
          <w:tab w:val="num" w:pos="3792"/>
        </w:tabs>
        <w:ind w:left="3792" w:hanging="360"/>
      </w:pPr>
      <w:rPr>
        <w:rFonts w:ascii="Symbol" w:hAnsi="Symbol" w:hint="default"/>
      </w:rPr>
    </w:lvl>
    <w:lvl w:ilvl="4" w:tplc="04190003" w:tentative="1">
      <w:start w:val="1"/>
      <w:numFmt w:val="bullet"/>
      <w:lvlText w:val="o"/>
      <w:lvlJc w:val="left"/>
      <w:pPr>
        <w:tabs>
          <w:tab w:val="num" w:pos="4512"/>
        </w:tabs>
        <w:ind w:left="4512" w:hanging="360"/>
      </w:pPr>
      <w:rPr>
        <w:rFonts w:ascii="Courier New" w:hAnsi="Courier New" w:cs="Courier New" w:hint="default"/>
      </w:rPr>
    </w:lvl>
    <w:lvl w:ilvl="5" w:tplc="04190005" w:tentative="1">
      <w:start w:val="1"/>
      <w:numFmt w:val="bullet"/>
      <w:lvlText w:val=""/>
      <w:lvlJc w:val="left"/>
      <w:pPr>
        <w:tabs>
          <w:tab w:val="num" w:pos="5232"/>
        </w:tabs>
        <w:ind w:left="5232" w:hanging="360"/>
      </w:pPr>
      <w:rPr>
        <w:rFonts w:ascii="Wingdings" w:hAnsi="Wingdings" w:hint="default"/>
      </w:rPr>
    </w:lvl>
    <w:lvl w:ilvl="6" w:tplc="04190001" w:tentative="1">
      <w:start w:val="1"/>
      <w:numFmt w:val="bullet"/>
      <w:lvlText w:val=""/>
      <w:lvlJc w:val="left"/>
      <w:pPr>
        <w:tabs>
          <w:tab w:val="num" w:pos="5952"/>
        </w:tabs>
        <w:ind w:left="5952" w:hanging="360"/>
      </w:pPr>
      <w:rPr>
        <w:rFonts w:ascii="Symbol" w:hAnsi="Symbol" w:hint="default"/>
      </w:rPr>
    </w:lvl>
    <w:lvl w:ilvl="7" w:tplc="04190003" w:tentative="1">
      <w:start w:val="1"/>
      <w:numFmt w:val="bullet"/>
      <w:lvlText w:val="o"/>
      <w:lvlJc w:val="left"/>
      <w:pPr>
        <w:tabs>
          <w:tab w:val="num" w:pos="6672"/>
        </w:tabs>
        <w:ind w:left="6672" w:hanging="360"/>
      </w:pPr>
      <w:rPr>
        <w:rFonts w:ascii="Courier New" w:hAnsi="Courier New" w:cs="Courier New" w:hint="default"/>
      </w:rPr>
    </w:lvl>
    <w:lvl w:ilvl="8" w:tplc="04190005" w:tentative="1">
      <w:start w:val="1"/>
      <w:numFmt w:val="bullet"/>
      <w:lvlText w:val=""/>
      <w:lvlJc w:val="left"/>
      <w:pPr>
        <w:tabs>
          <w:tab w:val="num" w:pos="7392"/>
        </w:tabs>
        <w:ind w:left="7392" w:hanging="360"/>
      </w:pPr>
      <w:rPr>
        <w:rFonts w:ascii="Wingdings" w:hAnsi="Wingdings" w:hint="default"/>
      </w:rPr>
    </w:lvl>
  </w:abstractNum>
  <w:abstractNum w:abstractNumId="3" w15:restartNumberingAfterBreak="0">
    <w:nsid w:val="54FA4B35"/>
    <w:multiLevelType w:val="hybridMultilevel"/>
    <w:tmpl w:val="7C2E75DA"/>
    <w:lvl w:ilvl="0" w:tplc="BE0A2EEC">
      <w:numFmt w:val="bullet"/>
      <w:lvlText w:val="-"/>
      <w:lvlJc w:val="left"/>
      <w:pPr>
        <w:ind w:left="1211" w:hanging="360"/>
      </w:pPr>
      <w:rPr>
        <w:rFonts w:ascii="Times New Roman" w:eastAsia="Times New Roman" w:hAnsi="Times New Roman" w:cs="Times New Roman" w:hint="default"/>
        <w:color w:val="000000"/>
      </w:rPr>
    </w:lvl>
    <w:lvl w:ilvl="1" w:tplc="04220003" w:tentative="1">
      <w:start w:val="1"/>
      <w:numFmt w:val="bullet"/>
      <w:lvlText w:val="o"/>
      <w:lvlJc w:val="left"/>
      <w:pPr>
        <w:ind w:left="1931" w:hanging="360"/>
      </w:pPr>
      <w:rPr>
        <w:rFonts w:ascii="Courier New" w:hAnsi="Courier New" w:cs="Courier New" w:hint="default"/>
      </w:rPr>
    </w:lvl>
    <w:lvl w:ilvl="2" w:tplc="04220005" w:tentative="1">
      <w:start w:val="1"/>
      <w:numFmt w:val="bullet"/>
      <w:lvlText w:val=""/>
      <w:lvlJc w:val="left"/>
      <w:pPr>
        <w:ind w:left="2651" w:hanging="360"/>
      </w:pPr>
      <w:rPr>
        <w:rFonts w:ascii="Wingdings" w:hAnsi="Wingdings" w:hint="default"/>
      </w:rPr>
    </w:lvl>
    <w:lvl w:ilvl="3" w:tplc="04220001" w:tentative="1">
      <w:start w:val="1"/>
      <w:numFmt w:val="bullet"/>
      <w:lvlText w:val=""/>
      <w:lvlJc w:val="left"/>
      <w:pPr>
        <w:ind w:left="3371" w:hanging="360"/>
      </w:pPr>
      <w:rPr>
        <w:rFonts w:ascii="Symbol" w:hAnsi="Symbol" w:hint="default"/>
      </w:rPr>
    </w:lvl>
    <w:lvl w:ilvl="4" w:tplc="04220003" w:tentative="1">
      <w:start w:val="1"/>
      <w:numFmt w:val="bullet"/>
      <w:lvlText w:val="o"/>
      <w:lvlJc w:val="left"/>
      <w:pPr>
        <w:ind w:left="4091" w:hanging="360"/>
      </w:pPr>
      <w:rPr>
        <w:rFonts w:ascii="Courier New" w:hAnsi="Courier New" w:cs="Courier New" w:hint="default"/>
      </w:rPr>
    </w:lvl>
    <w:lvl w:ilvl="5" w:tplc="04220005" w:tentative="1">
      <w:start w:val="1"/>
      <w:numFmt w:val="bullet"/>
      <w:lvlText w:val=""/>
      <w:lvlJc w:val="left"/>
      <w:pPr>
        <w:ind w:left="4811" w:hanging="360"/>
      </w:pPr>
      <w:rPr>
        <w:rFonts w:ascii="Wingdings" w:hAnsi="Wingdings" w:hint="default"/>
      </w:rPr>
    </w:lvl>
    <w:lvl w:ilvl="6" w:tplc="04220001" w:tentative="1">
      <w:start w:val="1"/>
      <w:numFmt w:val="bullet"/>
      <w:lvlText w:val=""/>
      <w:lvlJc w:val="left"/>
      <w:pPr>
        <w:ind w:left="5531" w:hanging="360"/>
      </w:pPr>
      <w:rPr>
        <w:rFonts w:ascii="Symbol" w:hAnsi="Symbol" w:hint="default"/>
      </w:rPr>
    </w:lvl>
    <w:lvl w:ilvl="7" w:tplc="04220003" w:tentative="1">
      <w:start w:val="1"/>
      <w:numFmt w:val="bullet"/>
      <w:lvlText w:val="o"/>
      <w:lvlJc w:val="left"/>
      <w:pPr>
        <w:ind w:left="6251" w:hanging="360"/>
      </w:pPr>
      <w:rPr>
        <w:rFonts w:ascii="Courier New" w:hAnsi="Courier New" w:cs="Courier New" w:hint="default"/>
      </w:rPr>
    </w:lvl>
    <w:lvl w:ilvl="8" w:tplc="04220005" w:tentative="1">
      <w:start w:val="1"/>
      <w:numFmt w:val="bullet"/>
      <w:lvlText w:val=""/>
      <w:lvlJc w:val="left"/>
      <w:pPr>
        <w:ind w:left="6971" w:hanging="360"/>
      </w:pPr>
      <w:rPr>
        <w:rFonts w:ascii="Wingdings" w:hAnsi="Wingdings" w:hint="default"/>
      </w:rPr>
    </w:lvl>
  </w:abstractNum>
  <w:abstractNum w:abstractNumId="4" w15:restartNumberingAfterBreak="0">
    <w:nsid w:val="58587C6A"/>
    <w:multiLevelType w:val="hybridMultilevel"/>
    <w:tmpl w:val="07A0E892"/>
    <w:lvl w:ilvl="0" w:tplc="EC08862C">
      <w:start w:val="1"/>
      <w:numFmt w:val="decimal"/>
      <w:lvlText w:val="%1)"/>
      <w:lvlJc w:val="left"/>
      <w:pPr>
        <w:ind w:left="1211" w:hanging="360"/>
      </w:pPr>
      <w:rPr>
        <w:rFonts w:hint="default"/>
        <w:b w:val="0"/>
      </w:rPr>
    </w:lvl>
    <w:lvl w:ilvl="1" w:tplc="04220019" w:tentative="1">
      <w:start w:val="1"/>
      <w:numFmt w:val="lowerLetter"/>
      <w:lvlText w:val="%2."/>
      <w:lvlJc w:val="left"/>
      <w:pPr>
        <w:ind w:left="1931" w:hanging="360"/>
      </w:pPr>
    </w:lvl>
    <w:lvl w:ilvl="2" w:tplc="0422001B" w:tentative="1">
      <w:start w:val="1"/>
      <w:numFmt w:val="lowerRoman"/>
      <w:lvlText w:val="%3."/>
      <w:lvlJc w:val="right"/>
      <w:pPr>
        <w:ind w:left="2651" w:hanging="180"/>
      </w:pPr>
    </w:lvl>
    <w:lvl w:ilvl="3" w:tplc="0422000F" w:tentative="1">
      <w:start w:val="1"/>
      <w:numFmt w:val="decimal"/>
      <w:lvlText w:val="%4."/>
      <w:lvlJc w:val="left"/>
      <w:pPr>
        <w:ind w:left="3371" w:hanging="360"/>
      </w:pPr>
    </w:lvl>
    <w:lvl w:ilvl="4" w:tplc="04220019" w:tentative="1">
      <w:start w:val="1"/>
      <w:numFmt w:val="lowerLetter"/>
      <w:lvlText w:val="%5."/>
      <w:lvlJc w:val="left"/>
      <w:pPr>
        <w:ind w:left="4091" w:hanging="360"/>
      </w:pPr>
    </w:lvl>
    <w:lvl w:ilvl="5" w:tplc="0422001B" w:tentative="1">
      <w:start w:val="1"/>
      <w:numFmt w:val="lowerRoman"/>
      <w:lvlText w:val="%6."/>
      <w:lvlJc w:val="right"/>
      <w:pPr>
        <w:ind w:left="4811" w:hanging="180"/>
      </w:pPr>
    </w:lvl>
    <w:lvl w:ilvl="6" w:tplc="0422000F" w:tentative="1">
      <w:start w:val="1"/>
      <w:numFmt w:val="decimal"/>
      <w:lvlText w:val="%7."/>
      <w:lvlJc w:val="left"/>
      <w:pPr>
        <w:ind w:left="5531" w:hanging="360"/>
      </w:pPr>
    </w:lvl>
    <w:lvl w:ilvl="7" w:tplc="04220019" w:tentative="1">
      <w:start w:val="1"/>
      <w:numFmt w:val="lowerLetter"/>
      <w:lvlText w:val="%8."/>
      <w:lvlJc w:val="left"/>
      <w:pPr>
        <w:ind w:left="6251" w:hanging="360"/>
      </w:pPr>
    </w:lvl>
    <w:lvl w:ilvl="8" w:tplc="0422001B" w:tentative="1">
      <w:start w:val="1"/>
      <w:numFmt w:val="lowerRoman"/>
      <w:lvlText w:val="%9."/>
      <w:lvlJc w:val="right"/>
      <w:pPr>
        <w:ind w:left="6971" w:hanging="180"/>
      </w:p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rawingGridHorizontalSpacing w:val="140"/>
  <w:drawingGridVerticalSpacing w:val="381"/>
  <w:displayHorizontalDrawingGridEvery w:val="2"/>
  <w:characterSpacingControl w:val="doNotCompress"/>
  <w:savePreviewPicture/>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B1256"/>
    <w:rsid w:val="000142D1"/>
    <w:rsid w:val="00014777"/>
    <w:rsid w:val="000372AB"/>
    <w:rsid w:val="00061DE5"/>
    <w:rsid w:val="0006753C"/>
    <w:rsid w:val="00082FB6"/>
    <w:rsid w:val="00085B97"/>
    <w:rsid w:val="00085FD2"/>
    <w:rsid w:val="000931EB"/>
    <w:rsid w:val="00093AC2"/>
    <w:rsid w:val="00093FA9"/>
    <w:rsid w:val="000B1256"/>
    <w:rsid w:val="000C4027"/>
    <w:rsid w:val="000E6895"/>
    <w:rsid w:val="001011E7"/>
    <w:rsid w:val="00133BEB"/>
    <w:rsid w:val="001713DE"/>
    <w:rsid w:val="001B272A"/>
    <w:rsid w:val="001F1AEF"/>
    <w:rsid w:val="00206F3A"/>
    <w:rsid w:val="00214C4C"/>
    <w:rsid w:val="00217D4F"/>
    <w:rsid w:val="00231BF1"/>
    <w:rsid w:val="00232F45"/>
    <w:rsid w:val="00234ED3"/>
    <w:rsid w:val="002443BA"/>
    <w:rsid w:val="00261CAA"/>
    <w:rsid w:val="0026601C"/>
    <w:rsid w:val="002719D1"/>
    <w:rsid w:val="002D2F69"/>
    <w:rsid w:val="002E1479"/>
    <w:rsid w:val="00302BA0"/>
    <w:rsid w:val="00327080"/>
    <w:rsid w:val="0033692C"/>
    <w:rsid w:val="003524F9"/>
    <w:rsid w:val="00382BFB"/>
    <w:rsid w:val="00393D88"/>
    <w:rsid w:val="003A40D2"/>
    <w:rsid w:val="003A7955"/>
    <w:rsid w:val="003F443F"/>
    <w:rsid w:val="003F6D11"/>
    <w:rsid w:val="00407D4D"/>
    <w:rsid w:val="00427005"/>
    <w:rsid w:val="004E6864"/>
    <w:rsid w:val="0051391F"/>
    <w:rsid w:val="005220D6"/>
    <w:rsid w:val="00522C1F"/>
    <w:rsid w:val="00530D3F"/>
    <w:rsid w:val="005349F8"/>
    <w:rsid w:val="00596FA1"/>
    <w:rsid w:val="005A1383"/>
    <w:rsid w:val="005A2E67"/>
    <w:rsid w:val="005C66FB"/>
    <w:rsid w:val="005D0B2D"/>
    <w:rsid w:val="005E4E55"/>
    <w:rsid w:val="005E563F"/>
    <w:rsid w:val="005F7D8B"/>
    <w:rsid w:val="006907C5"/>
    <w:rsid w:val="006B7B7E"/>
    <w:rsid w:val="006C6340"/>
    <w:rsid w:val="006F7CB5"/>
    <w:rsid w:val="00724167"/>
    <w:rsid w:val="00724594"/>
    <w:rsid w:val="0075183E"/>
    <w:rsid w:val="007721B8"/>
    <w:rsid w:val="00774677"/>
    <w:rsid w:val="007A1584"/>
    <w:rsid w:val="008158BB"/>
    <w:rsid w:val="008238AB"/>
    <w:rsid w:val="00847C15"/>
    <w:rsid w:val="009019F3"/>
    <w:rsid w:val="0093195C"/>
    <w:rsid w:val="009C6A7B"/>
    <w:rsid w:val="009D684E"/>
    <w:rsid w:val="00A009F6"/>
    <w:rsid w:val="00A036B0"/>
    <w:rsid w:val="00AC43B2"/>
    <w:rsid w:val="00AD7F7E"/>
    <w:rsid w:val="00AE6DC0"/>
    <w:rsid w:val="00B04D15"/>
    <w:rsid w:val="00B1230D"/>
    <w:rsid w:val="00B64D05"/>
    <w:rsid w:val="00B66AAF"/>
    <w:rsid w:val="00B70FD9"/>
    <w:rsid w:val="00C011D8"/>
    <w:rsid w:val="00C042D7"/>
    <w:rsid w:val="00C0435C"/>
    <w:rsid w:val="00C06F20"/>
    <w:rsid w:val="00C21CB3"/>
    <w:rsid w:val="00C3030E"/>
    <w:rsid w:val="00C34529"/>
    <w:rsid w:val="00C76B24"/>
    <w:rsid w:val="00CC1889"/>
    <w:rsid w:val="00D011E3"/>
    <w:rsid w:val="00D05422"/>
    <w:rsid w:val="00D120A2"/>
    <w:rsid w:val="00D34A5A"/>
    <w:rsid w:val="00D63367"/>
    <w:rsid w:val="00D67786"/>
    <w:rsid w:val="00DE1E2F"/>
    <w:rsid w:val="00DE4D73"/>
    <w:rsid w:val="00DF6233"/>
    <w:rsid w:val="00E05541"/>
    <w:rsid w:val="00E40DBA"/>
    <w:rsid w:val="00E46711"/>
    <w:rsid w:val="00E61BF1"/>
    <w:rsid w:val="00EA3F3F"/>
    <w:rsid w:val="00EC6231"/>
    <w:rsid w:val="00ED301D"/>
    <w:rsid w:val="00ED692D"/>
    <w:rsid w:val="00EF0D95"/>
    <w:rsid w:val="00F464F4"/>
    <w:rsid w:val="00F50906"/>
    <w:rsid w:val="00F64270"/>
    <w:rsid w:val="00F64670"/>
    <w:rsid w:val="00FA0E90"/>
    <w:rsid w:val="00FC0092"/>
    <w:rsid w:val="00FD2542"/>
    <w:rsid w:val="00FE08BE"/>
    <w:rsid w:val="00FF5D0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27279B3B"/>
  <w15:chartTrackingRefBased/>
  <w15:docId w15:val="{BAE5E4E0-579F-48F6-A43D-9E516144E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99"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1256"/>
    <w:rPr>
      <w:rFonts w:eastAsia="Calibri"/>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0142D1"/>
    <w:pPr>
      <w:ind w:left="4956"/>
    </w:pPr>
    <w:rPr>
      <w:b/>
      <w:bCs/>
      <w:szCs w:val="16"/>
      <w:lang w:val="en-US"/>
    </w:rPr>
  </w:style>
  <w:style w:type="character" w:customStyle="1" w:styleId="a4">
    <w:name w:val="Основний текст з відступом Знак"/>
    <w:link w:val="a3"/>
    <w:locked/>
    <w:rsid w:val="000142D1"/>
    <w:rPr>
      <w:rFonts w:eastAsia="Calibri"/>
      <w:b/>
      <w:bCs/>
      <w:sz w:val="28"/>
      <w:szCs w:val="16"/>
      <w:lang w:val="en-US" w:eastAsia="ru-RU" w:bidi="ar-SA"/>
    </w:rPr>
  </w:style>
  <w:style w:type="paragraph" w:styleId="a5">
    <w:name w:val="Normal (Web)"/>
    <w:basedOn w:val="a"/>
    <w:uiPriority w:val="99"/>
    <w:rsid w:val="00FA0E90"/>
    <w:pPr>
      <w:spacing w:before="100" w:beforeAutospacing="1" w:after="100" w:afterAutospacing="1"/>
    </w:pPr>
    <w:rPr>
      <w:rFonts w:eastAsia="Times New Roman"/>
      <w:sz w:val="24"/>
      <w:lang w:val="ru-RU"/>
    </w:rPr>
  </w:style>
  <w:style w:type="paragraph" w:styleId="a6">
    <w:name w:val="Balloon Text"/>
    <w:basedOn w:val="a"/>
    <w:link w:val="a7"/>
    <w:rsid w:val="00206F3A"/>
    <w:rPr>
      <w:rFonts w:ascii="Segoe UI" w:hAnsi="Segoe UI" w:cs="Segoe UI"/>
      <w:sz w:val="18"/>
      <w:szCs w:val="18"/>
    </w:rPr>
  </w:style>
  <w:style w:type="character" w:customStyle="1" w:styleId="a7">
    <w:name w:val="Текст у виносці Знак"/>
    <w:link w:val="a6"/>
    <w:rsid w:val="00206F3A"/>
    <w:rPr>
      <w:rFonts w:ascii="Segoe UI" w:eastAsia="Calibri" w:hAnsi="Segoe UI" w:cs="Segoe UI"/>
      <w:sz w:val="18"/>
      <w:szCs w:val="18"/>
      <w:lang w:eastAsia="ru-RU"/>
    </w:rPr>
  </w:style>
  <w:style w:type="character" w:styleId="a8">
    <w:name w:val="Emphasis"/>
    <w:qFormat/>
    <w:rsid w:val="00D63367"/>
    <w:rPr>
      <w:i/>
      <w:iCs/>
    </w:rPr>
  </w:style>
  <w:style w:type="paragraph" w:customStyle="1" w:styleId="rvps2">
    <w:name w:val="rvps2"/>
    <w:basedOn w:val="a"/>
    <w:link w:val="rvps20"/>
    <w:rsid w:val="00D63367"/>
    <w:pPr>
      <w:spacing w:before="100" w:beforeAutospacing="1" w:after="100" w:afterAutospacing="1"/>
    </w:pPr>
    <w:rPr>
      <w:rFonts w:eastAsia="Times New Roman"/>
      <w:sz w:val="24"/>
      <w:lang w:val="ru-RU"/>
    </w:rPr>
  </w:style>
  <w:style w:type="character" w:customStyle="1" w:styleId="rvps20">
    <w:name w:val="rvps2 Знак"/>
    <w:link w:val="rvps2"/>
    <w:uiPriority w:val="99"/>
    <w:locked/>
    <w:rsid w:val="00D63367"/>
    <w:rPr>
      <w:sz w:val="24"/>
      <w:szCs w:val="24"/>
      <w:lang w:val="ru-RU" w:eastAsia="ru-RU"/>
    </w:rPr>
  </w:style>
  <w:style w:type="table" w:styleId="a9">
    <w:name w:val="Table Grid"/>
    <w:basedOn w:val="a1"/>
    <w:uiPriority w:val="99"/>
    <w:rsid w:val="00085FD2"/>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Абзац списка1"/>
    <w:basedOn w:val="a"/>
    <w:rsid w:val="00EF0D95"/>
    <w:pPr>
      <w:ind w:left="720" w:firstLine="561"/>
      <w:contextualSpacing/>
      <w:jc w:val="both"/>
    </w:pPr>
    <w:rPr>
      <w:rFonts w:eastAsia="Times New Roman"/>
      <w:szCs w:val="28"/>
      <w:lang w:val="ru-RU" w:eastAsia="en-US"/>
    </w:rPr>
  </w:style>
  <w:style w:type="character" w:customStyle="1" w:styleId="FontStyle12">
    <w:name w:val="Font Style12"/>
    <w:rsid w:val="00C0435C"/>
    <w:rPr>
      <w:rFonts w:ascii="Times New Roman" w:hAnsi="Times New Roman"/>
      <w:b/>
      <w:sz w:val="26"/>
    </w:rPr>
  </w:style>
  <w:style w:type="character" w:styleId="aa">
    <w:name w:val="Strong"/>
    <w:uiPriority w:val="99"/>
    <w:qFormat/>
    <w:rsid w:val="00CC1889"/>
    <w:rPr>
      <w:rFonts w:cs="Times New Roman"/>
      <w:b/>
    </w:rPr>
  </w:style>
  <w:style w:type="paragraph" w:customStyle="1" w:styleId="Default">
    <w:name w:val="Default"/>
    <w:rsid w:val="00CC1889"/>
    <w:pPr>
      <w:autoSpaceDE w:val="0"/>
      <w:autoSpaceDN w:val="0"/>
      <w:adjustRightInd w:val="0"/>
    </w:pPr>
    <w:rPr>
      <w:color w:val="000000"/>
      <w:sz w:val="24"/>
      <w:szCs w:val="24"/>
    </w:rPr>
  </w:style>
  <w:style w:type="character" w:customStyle="1" w:styleId="ab">
    <w:name w:val="Основной текст_"/>
    <w:link w:val="6"/>
    <w:locked/>
    <w:rsid w:val="002443BA"/>
    <w:rPr>
      <w:spacing w:val="10"/>
      <w:sz w:val="23"/>
      <w:shd w:val="clear" w:color="auto" w:fill="FFFFFF"/>
    </w:rPr>
  </w:style>
  <w:style w:type="paragraph" w:customStyle="1" w:styleId="6">
    <w:name w:val="Основной текст6"/>
    <w:basedOn w:val="a"/>
    <w:link w:val="ab"/>
    <w:rsid w:val="002443BA"/>
    <w:pPr>
      <w:widowControl w:val="0"/>
      <w:shd w:val="clear" w:color="auto" w:fill="FFFFFF"/>
      <w:spacing w:line="298" w:lineRule="exact"/>
      <w:jc w:val="both"/>
    </w:pPr>
    <w:rPr>
      <w:rFonts w:eastAsia="Times New Roman"/>
      <w:spacing w:val="10"/>
      <w:sz w:val="23"/>
      <w:szCs w:val="20"/>
      <w:lang w:eastAsia="uk-UA"/>
    </w:rPr>
  </w:style>
  <w:style w:type="character" w:customStyle="1" w:styleId="rvts9">
    <w:name w:val="rvts9"/>
    <w:uiPriority w:val="99"/>
    <w:rsid w:val="002443BA"/>
    <w:rPr>
      <w:rFonts w:cs="Times New Roman"/>
    </w:rPr>
  </w:style>
  <w:style w:type="paragraph" w:customStyle="1" w:styleId="ac">
    <w:name w:val="Ігор"/>
    <w:basedOn w:val="a"/>
    <w:rsid w:val="00724594"/>
    <w:pPr>
      <w:autoSpaceDE w:val="0"/>
      <w:autoSpaceDN w:val="0"/>
      <w:spacing w:before="120"/>
      <w:ind w:firstLine="567"/>
      <w:jc w:val="both"/>
    </w:pPr>
    <w:rPr>
      <w:rFonts w:eastAsia="Times New Roman"/>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2500</Words>
  <Characters>1426</Characters>
  <Application>Microsoft Office Word</Application>
  <DocSecurity>0</DocSecurity>
  <Lines>11</Lines>
  <Paragraphs>7</Paragraphs>
  <ScaleCrop>false</ScaleCrop>
  <HeadingPairs>
    <vt:vector size="4" baseType="variant">
      <vt:variant>
        <vt:lpstr>Назва</vt:lpstr>
      </vt:variant>
      <vt:variant>
        <vt:i4>1</vt:i4>
      </vt:variant>
      <vt:variant>
        <vt:lpstr>Заголовки</vt:lpstr>
      </vt:variant>
      <vt:variant>
        <vt:i4>2</vt:i4>
      </vt:variant>
    </vt:vector>
  </HeadingPairs>
  <TitlesOfParts>
    <vt:vector size="3" baseType="lpstr">
      <vt:lpstr>10009</vt:lpstr>
      <vt:lpstr>До розгляду законопроекту</vt:lpstr>
      <vt:lpstr>за реєстр. №4336</vt:lpstr>
    </vt:vector>
  </TitlesOfParts>
  <Company>VR</Company>
  <LinksUpToDate>false</LinksUpToDate>
  <CharactersWithSpaces>3919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10009</dc:title>
  <dc:subject/>
  <dc:creator>User_UKS</dc:creator>
  <cp:keywords/>
  <dc:description/>
  <cp:lastModifiedBy>Олександр Володимирович Сторожук</cp:lastModifiedBy>
  <cp:revision>6</cp:revision>
  <cp:lastPrinted>2020-12-16T13:14:00Z</cp:lastPrinted>
  <dcterms:created xsi:type="dcterms:W3CDTF">2020-12-16T13:14:00Z</dcterms:created>
  <dcterms:modified xsi:type="dcterms:W3CDTF">2020-12-17T15:37:00Z</dcterms:modified>
</cp:coreProperties>
</file>