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83" w:rsidRPr="00A56DCC" w:rsidRDefault="001C0AA3" w:rsidP="007315C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6" w:lineRule="auto"/>
        <w:ind w:firstLine="284"/>
        <w:jc w:val="center"/>
        <w:rPr>
          <w:b/>
          <w:sz w:val="28"/>
          <w:szCs w:val="28"/>
          <w:lang w:val="uk-UA"/>
        </w:rPr>
      </w:pPr>
      <w:bookmarkStart w:id="0" w:name="_GoBack"/>
      <w:bookmarkEnd w:id="0"/>
      <w:r w:rsidRPr="00A56DCC">
        <w:rPr>
          <w:b/>
          <w:sz w:val="28"/>
          <w:szCs w:val="28"/>
          <w:lang w:val="uk-UA"/>
        </w:rPr>
        <w:t>ПОРІВНЯЛЬНА ТАБЛИЦЯ</w:t>
      </w:r>
    </w:p>
    <w:p w:rsidR="00995A83" w:rsidRPr="00A56DCC" w:rsidRDefault="001C0AA3" w:rsidP="00B062EE">
      <w:pPr>
        <w:jc w:val="center"/>
        <w:rPr>
          <w:b/>
          <w:sz w:val="28"/>
          <w:szCs w:val="28"/>
          <w:highlight w:val="white"/>
          <w:lang w:val="uk-UA"/>
        </w:rPr>
      </w:pPr>
      <w:r w:rsidRPr="00A56DCC">
        <w:rPr>
          <w:b/>
          <w:sz w:val="28"/>
          <w:szCs w:val="28"/>
          <w:lang w:val="uk-UA"/>
        </w:rPr>
        <w:t>до проекту Закону України «</w:t>
      </w:r>
      <w:r w:rsidR="00B062EE" w:rsidRPr="00A56DCC">
        <w:rPr>
          <w:b/>
          <w:sz w:val="28"/>
          <w:szCs w:val="28"/>
          <w:lang w:val="uk-UA"/>
        </w:rPr>
        <w:t xml:space="preserve">Про внесення змін до Бюджетного кодексу України </w:t>
      </w:r>
      <w:r w:rsidR="00B062EE" w:rsidRPr="00A56DCC">
        <w:rPr>
          <w:b/>
          <w:sz w:val="28"/>
          <w:szCs w:val="28"/>
          <w:lang w:val="uk-UA"/>
        </w:rPr>
        <w:br/>
        <w:t>(щодо оптимізації судоустрою)</w:t>
      </w:r>
      <w:r w:rsidRPr="00A56DCC">
        <w:rPr>
          <w:b/>
          <w:sz w:val="28"/>
          <w:szCs w:val="28"/>
          <w:lang w:val="uk-UA"/>
        </w:rPr>
        <w:t>»</w:t>
      </w:r>
    </w:p>
    <w:p w:rsidR="00995A83" w:rsidRPr="00A56DCC" w:rsidRDefault="00995A83" w:rsidP="007315C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6" w:lineRule="auto"/>
        <w:ind w:firstLine="284"/>
        <w:jc w:val="center"/>
        <w:rPr>
          <w:b/>
          <w:sz w:val="28"/>
          <w:szCs w:val="28"/>
          <w:lang w:val="uk-UA"/>
        </w:rPr>
      </w:pPr>
    </w:p>
    <w:tbl>
      <w:tblPr>
        <w:tblStyle w:val="a8"/>
        <w:tblW w:w="14454" w:type="dxa"/>
        <w:jc w:val="center"/>
        <w:tblInd w:w="0" w:type="dxa"/>
        <w:tblBorders>
          <w:top w:val="single" w:sz="4" w:space="0" w:color="929292"/>
          <w:left w:val="single" w:sz="4" w:space="0" w:color="929292"/>
          <w:bottom w:val="single" w:sz="4" w:space="0" w:color="929292"/>
          <w:right w:val="single" w:sz="4" w:space="0" w:color="929292"/>
          <w:insideH w:val="single" w:sz="4" w:space="0" w:color="929292"/>
          <w:insideV w:val="single" w:sz="4" w:space="0" w:color="929292"/>
        </w:tblBorders>
        <w:tblLayout w:type="fixed"/>
        <w:tblLook w:val="0000" w:firstRow="0" w:lastRow="0" w:firstColumn="0" w:lastColumn="0" w:noHBand="0" w:noVBand="0"/>
      </w:tblPr>
      <w:tblGrid>
        <w:gridCol w:w="7225"/>
        <w:gridCol w:w="7229"/>
      </w:tblGrid>
      <w:tr w:rsidR="00995A83" w:rsidRPr="0080207A" w:rsidTr="009267C0">
        <w:trPr>
          <w:trHeight w:val="769"/>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995A83" w:rsidRPr="00A56DCC" w:rsidRDefault="001C0AA3" w:rsidP="007315C1">
            <w:pPr>
              <w:pBdr>
                <w:top w:val="nil"/>
                <w:left w:val="nil"/>
                <w:bottom w:val="nil"/>
                <w:right w:val="nil"/>
                <w:between w:val="nil"/>
              </w:pBdr>
              <w:tabs>
                <w:tab w:val="left" w:pos="708"/>
                <w:tab w:val="left" w:pos="1416"/>
                <w:tab w:val="left" w:pos="2124"/>
                <w:tab w:val="left" w:pos="2832"/>
                <w:tab w:val="left" w:pos="3540"/>
                <w:tab w:val="left" w:pos="4248"/>
              </w:tabs>
              <w:spacing w:line="266" w:lineRule="auto"/>
              <w:jc w:val="center"/>
              <w:rPr>
                <w:sz w:val="28"/>
                <w:szCs w:val="28"/>
                <w:lang w:val="uk-UA"/>
              </w:rPr>
            </w:pPr>
            <w:r w:rsidRPr="00A56DCC">
              <w:rPr>
                <w:b/>
                <w:sz w:val="28"/>
                <w:szCs w:val="28"/>
                <w:lang w:val="uk-UA"/>
              </w:rPr>
              <w:t>Зміст положення (норми)</w:t>
            </w:r>
            <w:r w:rsidRPr="00A56DCC">
              <w:rPr>
                <w:b/>
                <w:sz w:val="28"/>
                <w:szCs w:val="28"/>
                <w:lang w:val="uk-UA"/>
              </w:rPr>
              <w:br/>
              <w:t>чинного акта законодавства</w:t>
            </w:r>
          </w:p>
        </w:tc>
        <w:tc>
          <w:tcPr>
            <w:tcW w:w="7229"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995A83" w:rsidRPr="00A56DCC" w:rsidRDefault="001C0AA3" w:rsidP="007315C1">
            <w:pPr>
              <w:pBdr>
                <w:top w:val="nil"/>
                <w:left w:val="nil"/>
                <w:bottom w:val="nil"/>
                <w:right w:val="nil"/>
                <w:between w:val="nil"/>
              </w:pBdr>
              <w:tabs>
                <w:tab w:val="left" w:pos="708"/>
                <w:tab w:val="left" w:pos="1416"/>
                <w:tab w:val="left" w:pos="2124"/>
                <w:tab w:val="left" w:pos="2832"/>
                <w:tab w:val="left" w:pos="3540"/>
                <w:tab w:val="left" w:pos="4248"/>
              </w:tabs>
              <w:spacing w:line="266" w:lineRule="auto"/>
              <w:jc w:val="center"/>
              <w:rPr>
                <w:sz w:val="28"/>
                <w:szCs w:val="28"/>
                <w:lang w:val="uk-UA"/>
              </w:rPr>
            </w:pPr>
            <w:r w:rsidRPr="00A56DCC">
              <w:rPr>
                <w:b/>
                <w:sz w:val="28"/>
                <w:szCs w:val="28"/>
                <w:lang w:val="uk-UA"/>
              </w:rPr>
              <w:t>Зміст відповідного положення (норми)</w:t>
            </w:r>
            <w:r w:rsidRPr="00A56DCC">
              <w:rPr>
                <w:b/>
                <w:sz w:val="28"/>
                <w:szCs w:val="28"/>
                <w:lang w:val="uk-UA"/>
              </w:rPr>
              <w:br/>
              <w:t>проекту акта</w:t>
            </w:r>
          </w:p>
        </w:tc>
      </w:tr>
      <w:tr w:rsidR="00995A83" w:rsidRPr="00A56DCC" w:rsidTr="009267C0">
        <w:trPr>
          <w:trHeight w:val="400"/>
          <w:jc w:val="center"/>
        </w:trPr>
        <w:tc>
          <w:tcPr>
            <w:tcW w:w="14454" w:type="dxa"/>
            <w:gridSpan w:val="2"/>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A56DCC" w:rsidRDefault="00A56DCC" w:rsidP="007315C1">
            <w:pPr>
              <w:jc w:val="center"/>
              <w:rPr>
                <w:b/>
                <w:sz w:val="28"/>
                <w:szCs w:val="28"/>
                <w:lang w:val="uk-UA"/>
              </w:rPr>
            </w:pPr>
          </w:p>
          <w:p w:rsidR="00995A83" w:rsidRDefault="001C0AA3" w:rsidP="007315C1">
            <w:pPr>
              <w:jc w:val="center"/>
              <w:rPr>
                <w:b/>
                <w:sz w:val="28"/>
                <w:szCs w:val="28"/>
                <w:lang w:val="uk-UA"/>
              </w:rPr>
            </w:pPr>
            <w:r w:rsidRPr="00A56DCC">
              <w:rPr>
                <w:b/>
                <w:sz w:val="28"/>
                <w:szCs w:val="28"/>
                <w:lang w:val="uk-UA"/>
              </w:rPr>
              <w:t>Бюджетний кодекс України</w:t>
            </w:r>
            <w:r w:rsidR="00B062EE" w:rsidRPr="00A56DCC">
              <w:rPr>
                <w:b/>
                <w:sz w:val="28"/>
                <w:szCs w:val="28"/>
                <w:lang w:val="uk-UA"/>
              </w:rPr>
              <w:t xml:space="preserve"> </w:t>
            </w:r>
          </w:p>
          <w:p w:rsidR="00A56DCC" w:rsidRPr="00A56DCC" w:rsidRDefault="00A56DCC" w:rsidP="007315C1">
            <w:pPr>
              <w:jc w:val="center"/>
              <w:rPr>
                <w:b/>
                <w:sz w:val="28"/>
                <w:szCs w:val="28"/>
                <w:lang w:val="uk-UA"/>
              </w:rPr>
            </w:pPr>
          </w:p>
        </w:tc>
      </w:tr>
      <w:tr w:rsidR="00B062EE" w:rsidRPr="00A56DCC" w:rsidTr="009267C0">
        <w:trPr>
          <w:trHeight w:val="356"/>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B062EE">
            <w:pPr>
              <w:rPr>
                <w:sz w:val="28"/>
                <w:szCs w:val="28"/>
                <w:lang w:val="uk-UA"/>
              </w:rPr>
            </w:pPr>
            <w:r w:rsidRPr="00A56DCC">
              <w:rPr>
                <w:b/>
                <w:sz w:val="28"/>
                <w:szCs w:val="28"/>
                <w:lang w:val="uk-UA"/>
              </w:rPr>
              <w:t>Стаття 22.</w:t>
            </w:r>
            <w:r w:rsidRPr="00A56DCC">
              <w:rPr>
                <w:sz w:val="28"/>
                <w:szCs w:val="28"/>
                <w:lang w:val="uk-UA"/>
              </w:rPr>
              <w:t xml:space="preserve"> Розпорядники бюджетних коштів</w:t>
            </w:r>
          </w:p>
        </w:tc>
        <w:tc>
          <w:tcPr>
            <w:tcW w:w="7229"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B062EE">
            <w:pPr>
              <w:rPr>
                <w:sz w:val="28"/>
                <w:szCs w:val="28"/>
                <w:lang w:val="uk-UA"/>
              </w:rPr>
            </w:pPr>
            <w:r w:rsidRPr="00A56DCC">
              <w:rPr>
                <w:b/>
                <w:sz w:val="28"/>
                <w:szCs w:val="28"/>
                <w:lang w:val="uk-UA"/>
              </w:rPr>
              <w:t>Стаття 22.</w:t>
            </w:r>
            <w:r w:rsidRPr="00A56DCC">
              <w:rPr>
                <w:sz w:val="28"/>
                <w:szCs w:val="28"/>
                <w:lang w:val="uk-UA"/>
              </w:rPr>
              <w:t xml:space="preserve"> Розпорядники бюджетних коштів</w:t>
            </w:r>
          </w:p>
        </w:tc>
      </w:tr>
      <w:tr w:rsidR="00B062EE" w:rsidRPr="00A56DCC" w:rsidTr="009267C0">
        <w:trPr>
          <w:trHeight w:val="356"/>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B062EE">
            <w:pPr>
              <w:rPr>
                <w:sz w:val="28"/>
                <w:szCs w:val="28"/>
                <w:lang w:val="uk-UA"/>
              </w:rPr>
            </w:pPr>
            <w:r w:rsidRPr="00A56DCC">
              <w:rPr>
                <w:sz w:val="28"/>
                <w:szCs w:val="28"/>
                <w:lang w:val="uk-UA"/>
              </w:rPr>
              <w:t>...</w:t>
            </w:r>
          </w:p>
        </w:tc>
        <w:tc>
          <w:tcPr>
            <w:tcW w:w="7229"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B062EE">
            <w:pPr>
              <w:rPr>
                <w:sz w:val="28"/>
                <w:szCs w:val="28"/>
                <w:lang w:val="uk-UA"/>
              </w:rPr>
            </w:pPr>
            <w:r w:rsidRPr="00A56DCC">
              <w:rPr>
                <w:sz w:val="28"/>
                <w:szCs w:val="28"/>
                <w:lang w:val="uk-UA"/>
              </w:rPr>
              <w:t>...</w:t>
            </w:r>
          </w:p>
        </w:tc>
      </w:tr>
      <w:tr w:rsidR="00B062EE" w:rsidRPr="0080207A" w:rsidTr="009267C0">
        <w:trPr>
          <w:trHeight w:val="356"/>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sz w:val="28"/>
                <w:szCs w:val="28"/>
                <w:lang w:val="uk-UA"/>
              </w:rPr>
              <w:t>2. Головними розпорядниками бюджетних коштів можуть бути виключно:</w:t>
            </w:r>
          </w:p>
        </w:tc>
        <w:tc>
          <w:tcPr>
            <w:tcW w:w="7229"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sz w:val="28"/>
                <w:szCs w:val="28"/>
                <w:lang w:val="uk-UA"/>
              </w:rPr>
              <w:t>2. Головними розпорядниками бюджетних коштів можуть бути виключно:</w:t>
            </w:r>
          </w:p>
        </w:tc>
      </w:tr>
      <w:tr w:rsidR="00B062EE" w:rsidRPr="0080207A" w:rsidTr="009267C0">
        <w:trPr>
          <w:trHeight w:val="356"/>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sz w:val="28"/>
                <w:szCs w:val="28"/>
                <w:lang w:val="uk-UA"/>
              </w:rPr>
              <w:t xml:space="preserve">1) за бюджетними призначеннями, визначеними законом про Державний бюджет України, - установи, уповноважені забезпечувати діяльність Верховної Ради України, Президента України, Кабінету Міністрів України в особі їх керівників; міністерства, Національне антикорупційне бюро України, Конституційний Суд України, Верховний Суд, вищі спеціалізовані суди, Вища рада правосуддя та інші органи, безпосередньо визначені Конституцією України, в особі їх керівників, а також </w:t>
            </w:r>
            <w:r w:rsidRPr="00A56DCC">
              <w:rPr>
                <w:b/>
                <w:sz w:val="28"/>
                <w:szCs w:val="28"/>
                <w:lang w:val="uk-UA"/>
              </w:rPr>
              <w:t>Державна судова адміністрація України</w:t>
            </w:r>
            <w:r w:rsidRPr="00A56DCC">
              <w:rPr>
                <w:sz w:val="28"/>
                <w:szCs w:val="28"/>
                <w:lang w:val="uk-UA"/>
              </w:rPr>
              <w:t xml:space="preserve">, Національна академія наук України, Національна академія аграрних наук України, </w:t>
            </w:r>
            <w:r w:rsidRPr="00A56DCC">
              <w:rPr>
                <w:sz w:val="28"/>
                <w:szCs w:val="28"/>
                <w:lang w:val="uk-UA"/>
              </w:rPr>
              <w:lastRenderedPageBreak/>
              <w:t>Національна академія медичних наук України, Національна академія педагогічних наук України, Національна академія правових наук України, Національна академія мистецтв України, інші установи, уповноважені законом або Кабінетом Міністрів України на реалізацію державної політики у відповідній сфері, в особі їх керівників;</w:t>
            </w:r>
          </w:p>
        </w:tc>
        <w:tc>
          <w:tcPr>
            <w:tcW w:w="7229"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sz w:val="28"/>
                <w:szCs w:val="28"/>
                <w:lang w:val="uk-UA"/>
              </w:rPr>
              <w:lastRenderedPageBreak/>
              <w:t xml:space="preserve">1) за бюджетними призначеннями, визначеними законом про Державний бюджет України, - установи, уповноважені забезпечувати діяльність Верховної Ради України, Президента України, Кабінету Міністрів України в особі їх керівників; міністерства, Національне антикорупційне бюро України, Конституційний Суд України, Верховний Суд, вищі спеціалізовані суди, Вища рада правосуддя та інші органи, безпосередньо визначені Конституцією України, в особі їх керівників, а також Національна академія наук України, Національна академія аграрних наук України, Національна академія медичних наук </w:t>
            </w:r>
            <w:r w:rsidRPr="00A56DCC">
              <w:rPr>
                <w:sz w:val="28"/>
                <w:szCs w:val="28"/>
                <w:lang w:val="uk-UA"/>
              </w:rPr>
              <w:lastRenderedPageBreak/>
              <w:t>України, Національна академія педагогічних наук України, Національна академія правових наук України, Національна академія мистецтв України, інші установи, уповноважені законом або Кабінетом Міністрів України на реалізацію державної політики у відповідній сфері, в особі їх керівників;</w:t>
            </w:r>
          </w:p>
        </w:tc>
      </w:tr>
      <w:tr w:rsidR="00B062EE" w:rsidRPr="0080207A" w:rsidTr="009267C0">
        <w:trPr>
          <w:trHeight w:val="356"/>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b/>
                <w:sz w:val="28"/>
                <w:szCs w:val="28"/>
                <w:lang w:val="uk-UA"/>
              </w:rPr>
              <w:lastRenderedPageBreak/>
              <w:t>Стаття 67</w:t>
            </w:r>
            <w:r w:rsidRPr="00A56DCC">
              <w:rPr>
                <w:b/>
                <w:sz w:val="28"/>
                <w:szCs w:val="28"/>
                <w:vertAlign w:val="superscript"/>
                <w:lang w:val="uk-UA"/>
              </w:rPr>
              <w:t>-1</w:t>
            </w:r>
            <w:r w:rsidRPr="00A56DCC">
              <w:rPr>
                <w:b/>
                <w:sz w:val="28"/>
                <w:szCs w:val="28"/>
                <w:lang w:val="uk-UA"/>
              </w:rPr>
              <w:t>.</w:t>
            </w:r>
            <w:r w:rsidRPr="00A56DCC">
              <w:rPr>
                <w:sz w:val="28"/>
                <w:szCs w:val="28"/>
                <w:lang w:val="uk-UA"/>
              </w:rPr>
              <w:t xml:space="preserve"> Особливості взаємовідносин державного бюджету з бюджетами Автономної Республіки Крим та міста Севастополя</w:t>
            </w:r>
          </w:p>
        </w:tc>
        <w:tc>
          <w:tcPr>
            <w:tcW w:w="7229"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b/>
                <w:sz w:val="28"/>
                <w:szCs w:val="28"/>
                <w:lang w:val="uk-UA"/>
              </w:rPr>
              <w:t>Стаття 67</w:t>
            </w:r>
            <w:r w:rsidRPr="00A56DCC">
              <w:rPr>
                <w:b/>
                <w:sz w:val="28"/>
                <w:szCs w:val="28"/>
                <w:vertAlign w:val="superscript"/>
                <w:lang w:val="uk-UA"/>
              </w:rPr>
              <w:t>-1</w:t>
            </w:r>
            <w:r w:rsidRPr="00A56DCC">
              <w:rPr>
                <w:b/>
                <w:sz w:val="28"/>
                <w:szCs w:val="28"/>
                <w:lang w:val="uk-UA"/>
              </w:rPr>
              <w:t>.</w:t>
            </w:r>
            <w:r w:rsidRPr="00A56DCC">
              <w:rPr>
                <w:sz w:val="28"/>
                <w:szCs w:val="28"/>
                <w:lang w:val="uk-UA"/>
              </w:rPr>
              <w:t xml:space="preserve"> Особливості взаємовідносин державного бюджету з бюджетами Автономної Республіки Крим та міста Севастополя</w:t>
            </w:r>
          </w:p>
        </w:tc>
      </w:tr>
      <w:tr w:rsidR="00B062EE" w:rsidRPr="00A56DCC" w:rsidTr="009267C0">
        <w:trPr>
          <w:trHeight w:val="356"/>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sz w:val="28"/>
                <w:szCs w:val="28"/>
                <w:lang w:val="uk-UA"/>
              </w:rPr>
              <w:t>...</w:t>
            </w:r>
          </w:p>
        </w:tc>
        <w:tc>
          <w:tcPr>
            <w:tcW w:w="7229"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sz w:val="28"/>
                <w:szCs w:val="28"/>
                <w:lang w:val="uk-UA"/>
              </w:rPr>
              <w:t>...</w:t>
            </w:r>
          </w:p>
        </w:tc>
      </w:tr>
      <w:tr w:rsidR="00B062EE" w:rsidRPr="0080207A" w:rsidTr="009267C0">
        <w:trPr>
          <w:trHeight w:val="356"/>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sz w:val="28"/>
                <w:szCs w:val="28"/>
                <w:lang w:val="uk-UA"/>
              </w:rPr>
              <w:t>2. Положення цього Кодексу для бюджетів Автономної Республіки Крим та міста Севастополя застосовуються з урахуванням таких особливостей:</w:t>
            </w:r>
          </w:p>
        </w:tc>
        <w:tc>
          <w:tcPr>
            <w:tcW w:w="7229"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sz w:val="28"/>
                <w:szCs w:val="28"/>
                <w:lang w:val="uk-UA"/>
              </w:rPr>
              <w:t>2. Положення цього Кодексу для бюджетів Автономної Республіки Крим та міста Севастополя застосовуються з урахуванням таких особливостей:</w:t>
            </w:r>
          </w:p>
        </w:tc>
      </w:tr>
      <w:tr w:rsidR="00B062EE" w:rsidRPr="00A56DCC" w:rsidTr="009267C0">
        <w:trPr>
          <w:trHeight w:val="356"/>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sz w:val="28"/>
                <w:szCs w:val="28"/>
                <w:lang w:val="uk-UA"/>
              </w:rPr>
              <w:t>...</w:t>
            </w:r>
          </w:p>
        </w:tc>
        <w:tc>
          <w:tcPr>
            <w:tcW w:w="7229"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sz w:val="28"/>
                <w:szCs w:val="28"/>
                <w:lang w:val="uk-UA"/>
              </w:rPr>
              <w:t>...</w:t>
            </w:r>
          </w:p>
        </w:tc>
      </w:tr>
      <w:tr w:rsidR="00B062EE" w:rsidRPr="0080207A" w:rsidTr="009267C0">
        <w:trPr>
          <w:trHeight w:val="356"/>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sz w:val="28"/>
                <w:szCs w:val="28"/>
                <w:lang w:val="uk-UA"/>
              </w:rPr>
              <w:t>5) до видатків та кредитування, що здійснюються з місцевих бюджетів Автономної Республіки Крим, належать видатки:</w:t>
            </w:r>
          </w:p>
        </w:tc>
        <w:tc>
          <w:tcPr>
            <w:tcW w:w="7229"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sz w:val="28"/>
                <w:szCs w:val="28"/>
                <w:lang w:val="uk-UA"/>
              </w:rPr>
              <w:t>5) до видатків та кредитування, що здійснюються з місцевих бюджетів Автономної Республіки Крим, належать видатки:</w:t>
            </w:r>
          </w:p>
        </w:tc>
      </w:tr>
      <w:tr w:rsidR="00B062EE" w:rsidRPr="00A56DCC" w:rsidTr="009267C0">
        <w:trPr>
          <w:trHeight w:val="356"/>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sz w:val="28"/>
                <w:szCs w:val="28"/>
                <w:lang w:val="uk-UA"/>
              </w:rPr>
              <w:t>...</w:t>
            </w:r>
          </w:p>
        </w:tc>
        <w:tc>
          <w:tcPr>
            <w:tcW w:w="7229"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sz w:val="28"/>
                <w:szCs w:val="28"/>
                <w:lang w:val="uk-UA"/>
              </w:rPr>
              <w:t>...</w:t>
            </w:r>
          </w:p>
        </w:tc>
      </w:tr>
      <w:tr w:rsidR="00B062EE" w:rsidRPr="0080207A" w:rsidTr="009267C0">
        <w:trPr>
          <w:trHeight w:val="356"/>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sz w:val="28"/>
                <w:szCs w:val="28"/>
                <w:lang w:val="uk-UA"/>
              </w:rPr>
              <w:t xml:space="preserve">визначені пунктами 4, 7-17 та 21 частини першої статті 87 цього Кодексу, що здійснюються на території Автономної Республіки Крим і міста Севастополя, а також видатки на </w:t>
            </w:r>
            <w:r w:rsidRPr="00A56DCC">
              <w:rPr>
                <w:sz w:val="28"/>
                <w:szCs w:val="28"/>
                <w:lang w:val="uk-UA"/>
              </w:rPr>
              <w:lastRenderedPageBreak/>
              <w:t xml:space="preserve">державне управління (місцеві державні адміністрації і територіальні органи державних органів в Автономій Республіці Крим та місті Севастополі) та судову владу (місцеві та апеляційні суди, </w:t>
            </w:r>
            <w:r w:rsidRPr="00A56DCC">
              <w:rPr>
                <w:b/>
                <w:sz w:val="28"/>
                <w:szCs w:val="28"/>
                <w:lang w:val="uk-UA"/>
              </w:rPr>
              <w:t xml:space="preserve">територіальні управління Державної судової адміністрації України </w:t>
            </w:r>
            <w:r w:rsidRPr="00A56DCC">
              <w:rPr>
                <w:sz w:val="28"/>
                <w:szCs w:val="28"/>
                <w:lang w:val="uk-UA"/>
              </w:rPr>
              <w:t>в Автономній Республіці Крим та місті Севастополі);</w:t>
            </w:r>
          </w:p>
        </w:tc>
        <w:tc>
          <w:tcPr>
            <w:tcW w:w="7229"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B062EE" w:rsidRPr="00A56DCC" w:rsidRDefault="00B062EE" w:rsidP="0080207A">
            <w:pPr>
              <w:jc w:val="both"/>
              <w:rPr>
                <w:sz w:val="28"/>
                <w:szCs w:val="28"/>
                <w:lang w:val="uk-UA"/>
              </w:rPr>
            </w:pPr>
            <w:r w:rsidRPr="00A56DCC">
              <w:rPr>
                <w:sz w:val="28"/>
                <w:szCs w:val="28"/>
                <w:lang w:val="uk-UA"/>
              </w:rPr>
              <w:lastRenderedPageBreak/>
              <w:t xml:space="preserve">визначені пунктами 4, 7-17 та 21 частини першої статті 87 цього Кодексу, що здійснюються на території Автономної Республіки Крим і міста Севастополя, а також видатки на </w:t>
            </w:r>
            <w:r w:rsidRPr="00A56DCC">
              <w:rPr>
                <w:sz w:val="28"/>
                <w:szCs w:val="28"/>
                <w:lang w:val="uk-UA"/>
              </w:rPr>
              <w:lastRenderedPageBreak/>
              <w:t>державне управління (місцеві державні адміністрації і територіальні органи державних органів в Автономій Республіці Крим та місті Севастополі) та судову владу (місцеві та апеляційні суди в Автономній Республіці Крим та місті Севастополі);</w:t>
            </w:r>
          </w:p>
        </w:tc>
      </w:tr>
    </w:tbl>
    <w:p w:rsidR="00995A83" w:rsidRDefault="00995A83" w:rsidP="007315C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6" w:lineRule="auto"/>
        <w:ind w:firstLine="284"/>
        <w:jc w:val="center"/>
        <w:rPr>
          <w:lang w:val="uk-UA"/>
        </w:rPr>
      </w:pPr>
    </w:p>
    <w:p w:rsidR="00920CAE" w:rsidRDefault="00920CAE" w:rsidP="00920C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6" w:lineRule="auto"/>
        <w:ind w:firstLine="284"/>
        <w:jc w:val="both"/>
        <w:rPr>
          <w:b/>
          <w:sz w:val="28"/>
          <w:szCs w:val="28"/>
          <w:lang w:val="uk-UA"/>
        </w:rPr>
      </w:pPr>
    </w:p>
    <w:p w:rsidR="00920CAE" w:rsidRPr="00920CAE" w:rsidRDefault="00920CAE" w:rsidP="00920C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6" w:lineRule="auto"/>
        <w:ind w:firstLine="284"/>
        <w:jc w:val="both"/>
        <w:rPr>
          <w:b/>
          <w:sz w:val="28"/>
          <w:szCs w:val="28"/>
          <w:lang w:val="uk-UA"/>
        </w:rPr>
      </w:pPr>
      <w:r w:rsidRPr="00920CAE">
        <w:rPr>
          <w:b/>
          <w:sz w:val="28"/>
          <w:szCs w:val="28"/>
          <w:lang w:val="uk-UA"/>
        </w:rPr>
        <w:t>Народні депутати України</w:t>
      </w:r>
    </w:p>
    <w:sectPr w:rsidR="00920CAE" w:rsidRPr="00920CAE" w:rsidSect="009267C0">
      <w:footerReference w:type="default" r:id="rId11"/>
      <w:pgSz w:w="16838" w:h="11906" w:orient="landscape"/>
      <w:pgMar w:top="1702" w:right="1134" w:bottom="1134" w:left="1134" w:header="709"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44F" w:rsidRDefault="0040644F">
      <w:r>
        <w:separator/>
      </w:r>
    </w:p>
  </w:endnote>
  <w:endnote w:type="continuationSeparator" w:id="0">
    <w:p w:rsidR="0040644F" w:rsidRDefault="0040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327772"/>
      <w:docPartObj>
        <w:docPartGallery w:val="Page Numbers (Bottom of Page)"/>
        <w:docPartUnique/>
      </w:docPartObj>
    </w:sdtPr>
    <w:sdtEndPr/>
    <w:sdtContent>
      <w:p w:rsidR="009267C0" w:rsidRDefault="009267C0">
        <w:pPr>
          <w:pStyle w:val="ab"/>
          <w:jc w:val="right"/>
        </w:pPr>
        <w:r>
          <w:fldChar w:fldCharType="begin"/>
        </w:r>
        <w:r>
          <w:instrText>PAGE   \* MERGEFORMAT</w:instrText>
        </w:r>
        <w:r>
          <w:fldChar w:fldCharType="separate"/>
        </w:r>
        <w:r w:rsidR="00CC6BE0" w:rsidRPr="00CC6BE0">
          <w:rPr>
            <w:noProof/>
            <w:lang w:val="uk-UA"/>
          </w:rPr>
          <w:t>3</w:t>
        </w:r>
        <w:r>
          <w:fldChar w:fldCharType="end"/>
        </w:r>
      </w:p>
    </w:sdtContent>
  </w:sdt>
  <w:p w:rsidR="00E12817" w:rsidRDefault="00E128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44F" w:rsidRDefault="0040644F">
      <w:r>
        <w:separator/>
      </w:r>
    </w:p>
  </w:footnote>
  <w:footnote w:type="continuationSeparator" w:id="0">
    <w:p w:rsidR="0040644F" w:rsidRDefault="00406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83"/>
    <w:rsid w:val="001C0AA3"/>
    <w:rsid w:val="0040644F"/>
    <w:rsid w:val="00466444"/>
    <w:rsid w:val="005B4A2F"/>
    <w:rsid w:val="005E0737"/>
    <w:rsid w:val="007315C1"/>
    <w:rsid w:val="0080207A"/>
    <w:rsid w:val="00860054"/>
    <w:rsid w:val="00920CAE"/>
    <w:rsid w:val="009267C0"/>
    <w:rsid w:val="00995A83"/>
    <w:rsid w:val="009D6866"/>
    <w:rsid w:val="00A56DCC"/>
    <w:rsid w:val="00B062EE"/>
    <w:rsid w:val="00BB33CF"/>
    <w:rsid w:val="00C26AC3"/>
    <w:rsid w:val="00C4140E"/>
    <w:rsid w:val="00CC6BE0"/>
    <w:rsid w:val="00CD78E3"/>
    <w:rsid w:val="00E128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991CB-A308-41D5-A583-790679DD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a5">
    <w:name w:val="По умолчанию"/>
    <w:pPr>
      <w:spacing w:before="160"/>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20">
    <w:name w:val="Стиль таблицы 2"/>
    <w:rPr>
      <w:rFonts w:ascii="Helvetica Neue" w:eastAsia="Helvetica Neue" w:hAnsi="Helvetica Neue" w:cs="Helvetica Neue"/>
      <w:color w:val="000000"/>
      <w:sz w:val="20"/>
      <w:szCs w:val="20"/>
      <w14:textOutline w14:w="0" w14:cap="flat" w14:cmpd="sng" w14:algn="ctr">
        <w14:noFill/>
        <w14:prstDash w14:val="solid"/>
        <w14:bevel/>
      </w14:textOutline>
    </w:rPr>
  </w:style>
  <w:style w:type="paragraph" w:customStyle="1" w:styleId="a6">
    <w:name w:val="Основной текст"/>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9267C0"/>
    <w:pPr>
      <w:tabs>
        <w:tab w:val="center" w:pos="4819"/>
        <w:tab w:val="right" w:pos="9639"/>
      </w:tabs>
    </w:pPr>
  </w:style>
  <w:style w:type="character" w:customStyle="1" w:styleId="aa">
    <w:name w:val="Верхній колонтитул Знак"/>
    <w:basedOn w:val="a0"/>
    <w:link w:val="a9"/>
    <w:uiPriority w:val="99"/>
    <w:rsid w:val="009267C0"/>
    <w:rPr>
      <w:lang w:eastAsia="en-US"/>
    </w:rPr>
  </w:style>
  <w:style w:type="paragraph" w:styleId="ab">
    <w:name w:val="footer"/>
    <w:basedOn w:val="a"/>
    <w:link w:val="ac"/>
    <w:uiPriority w:val="99"/>
    <w:unhideWhenUsed/>
    <w:rsid w:val="009267C0"/>
    <w:pPr>
      <w:tabs>
        <w:tab w:val="center" w:pos="4819"/>
        <w:tab w:val="right" w:pos="9639"/>
      </w:tabs>
    </w:pPr>
  </w:style>
  <w:style w:type="character" w:customStyle="1" w:styleId="ac">
    <w:name w:val="Нижній колонтитул Знак"/>
    <w:basedOn w:val="a0"/>
    <w:link w:val="ab"/>
    <w:uiPriority w:val="99"/>
    <w:rsid w:val="009267C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IRK59/1+h6Zx7CHn3ttZEPELiCA==">AMUW2mUl+kdpNn/WeGC6qWQx+I+5qq6coGcu2bnFZ/2tmXUtcmqikOslKkGfo85YmBYlnKJeox1DB5x+Wsp+4cRutVvvy0f691z3Z5ypPREs3qfEBou2a5Q=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4677E-9984-4023-BFFB-1DC5A82266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268CEC-CE54-42A6-A422-FCEDD5DA2B54}">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165E49F-85FE-4E22-A9B4-40E2137F4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5AB86F-9A14-4059-A5FD-7F653303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2504</Words>
  <Characters>1428</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2020-11-24T13:51:00Z</dcterms:created>
  <dcterms:modified xsi:type="dcterms:W3CDTF">2020-11-24T13:51:00Z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