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7" w:rsidRDefault="00FF5797">
      <w:pPr>
        <w:rPr>
          <w:sz w:val="24"/>
          <w:szCs w:val="24"/>
        </w:rPr>
      </w:pPr>
    </w:p>
    <w:p w:rsidR="00000369" w:rsidRDefault="00000369">
      <w:pPr>
        <w:rPr>
          <w:sz w:val="24"/>
          <w:szCs w:val="24"/>
        </w:rPr>
      </w:pPr>
    </w:p>
    <w:p w:rsidR="00000369" w:rsidRDefault="00000369">
      <w:pPr>
        <w:rPr>
          <w:sz w:val="24"/>
          <w:szCs w:val="24"/>
        </w:rPr>
      </w:pPr>
    </w:p>
    <w:p w:rsidR="00000369" w:rsidRDefault="00000369">
      <w:pPr>
        <w:rPr>
          <w:sz w:val="24"/>
          <w:szCs w:val="24"/>
        </w:rPr>
      </w:pPr>
    </w:p>
    <w:p w:rsidR="00FF5797" w:rsidRPr="00E34BA9" w:rsidRDefault="00FF5797"/>
    <w:p w:rsidR="00FF5797" w:rsidRDefault="00FF5797"/>
    <w:p w:rsidR="00FF5797" w:rsidRDefault="0057004A" w:rsidP="0057004A">
      <w:pPr>
        <w:tabs>
          <w:tab w:val="left" w:pos="5475"/>
        </w:tabs>
      </w:pPr>
      <w:r>
        <w:tab/>
      </w:r>
    </w:p>
    <w:p w:rsidR="00FF5797" w:rsidRDefault="00FF5797">
      <w:pPr>
        <w:jc w:val="center"/>
        <w:rPr>
          <w:b/>
          <w:sz w:val="28"/>
          <w:szCs w:val="28"/>
        </w:rPr>
      </w:pPr>
    </w:p>
    <w:p w:rsidR="00FF5797" w:rsidRDefault="003B0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ВИСНОВОК</w:t>
      </w:r>
    </w:p>
    <w:p w:rsidR="00FF5797" w:rsidRDefault="003B0FFE" w:rsidP="0031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Закону України «Про </w:t>
      </w:r>
      <w:r w:rsidR="009056D3" w:rsidRPr="009056D3">
        <w:rPr>
          <w:b/>
          <w:sz w:val="28"/>
          <w:szCs w:val="28"/>
        </w:rPr>
        <w:t>внесення змін до Податкового кодексу України щодо додаткової підтримки платників податків у 2021 році</w:t>
      </w:r>
      <w:r>
        <w:rPr>
          <w:b/>
          <w:sz w:val="28"/>
          <w:szCs w:val="28"/>
        </w:rPr>
        <w:t>»</w:t>
      </w:r>
    </w:p>
    <w:p w:rsidR="00FF5797" w:rsidRDefault="00FF5797">
      <w:pPr>
        <w:jc w:val="center"/>
        <w:rPr>
          <w:sz w:val="28"/>
          <w:szCs w:val="28"/>
        </w:rPr>
      </w:pPr>
    </w:p>
    <w:p w:rsidR="0070016E" w:rsidRDefault="003167EB" w:rsidP="003167E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3167EB">
        <w:rPr>
          <w:sz w:val="28"/>
          <w:szCs w:val="28"/>
        </w:rPr>
        <w:t xml:space="preserve">У проекті </w:t>
      </w:r>
      <w:r w:rsidR="0070016E">
        <w:rPr>
          <w:sz w:val="28"/>
          <w:szCs w:val="28"/>
        </w:rPr>
        <w:t xml:space="preserve">шляхом внесення змін до Податкового кодексу України </w:t>
      </w:r>
      <w:r w:rsidR="003476F3">
        <w:rPr>
          <w:sz w:val="28"/>
          <w:szCs w:val="28"/>
        </w:rPr>
        <w:br/>
      </w:r>
      <w:r w:rsidR="0070016E">
        <w:rPr>
          <w:sz w:val="28"/>
          <w:szCs w:val="28"/>
        </w:rPr>
        <w:t xml:space="preserve">(далі – ПК), законів України </w:t>
      </w:r>
      <w:r w:rsidR="0070016E" w:rsidRPr="0070016E">
        <w:rPr>
          <w:sz w:val="28"/>
          <w:szCs w:val="28"/>
        </w:rPr>
        <w:t>«Про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пального»</w:t>
      </w:r>
      <w:r w:rsidR="0070016E">
        <w:rPr>
          <w:sz w:val="28"/>
          <w:szCs w:val="28"/>
        </w:rPr>
        <w:t xml:space="preserve">, </w:t>
      </w:r>
      <w:r w:rsidR="0070016E" w:rsidRPr="0070016E">
        <w:rPr>
          <w:sz w:val="28"/>
          <w:szCs w:val="28"/>
        </w:rPr>
        <w:t xml:space="preserve">«Про внесення змін до деяких законодавчих актів України, спрямованих на запобігання виникненню і поширенню </w:t>
      </w:r>
      <w:proofErr w:type="spellStart"/>
      <w:r w:rsidR="0070016E" w:rsidRPr="0070016E">
        <w:rPr>
          <w:sz w:val="28"/>
          <w:szCs w:val="28"/>
        </w:rPr>
        <w:t>коронавірусної</w:t>
      </w:r>
      <w:proofErr w:type="spellEnd"/>
      <w:r w:rsidR="0070016E" w:rsidRPr="0070016E">
        <w:rPr>
          <w:sz w:val="28"/>
          <w:szCs w:val="28"/>
        </w:rPr>
        <w:t xml:space="preserve"> хвороби (COVID-19)»</w:t>
      </w:r>
      <w:r w:rsidR="0070016E">
        <w:rPr>
          <w:sz w:val="28"/>
          <w:szCs w:val="28"/>
        </w:rPr>
        <w:t xml:space="preserve"> пропонується:</w:t>
      </w:r>
    </w:p>
    <w:p w:rsidR="0070016E" w:rsidRDefault="0070016E" w:rsidP="003167E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врегулювати </w:t>
      </w:r>
      <w:r w:rsidRPr="0070016E">
        <w:rPr>
          <w:sz w:val="28"/>
          <w:szCs w:val="28"/>
        </w:rPr>
        <w:t xml:space="preserve">деякі особливості оподаткування податком на додану вартість операцій зі знищення товарів у зв'язку з форс-мажорними обставинами, </w:t>
      </w:r>
      <w:r w:rsidR="00353E81">
        <w:rPr>
          <w:sz w:val="28"/>
          <w:szCs w:val="28"/>
        </w:rPr>
        <w:t xml:space="preserve">зокрема, </w:t>
      </w:r>
      <w:r w:rsidRPr="0070016E">
        <w:rPr>
          <w:sz w:val="28"/>
          <w:szCs w:val="28"/>
        </w:rPr>
        <w:t>сільськогосподарських рослин, насаджень, тварин</w:t>
      </w:r>
      <w:r w:rsidR="00353E81">
        <w:rPr>
          <w:sz w:val="28"/>
          <w:szCs w:val="28"/>
        </w:rPr>
        <w:t xml:space="preserve">, а також знищення їх </w:t>
      </w:r>
      <w:r w:rsidR="00353E81" w:rsidRPr="00353E81">
        <w:rPr>
          <w:sz w:val="28"/>
          <w:szCs w:val="28"/>
        </w:rPr>
        <w:t xml:space="preserve">в інший спосіб, внаслідок </w:t>
      </w:r>
      <w:r w:rsidR="008C6948">
        <w:rPr>
          <w:sz w:val="28"/>
          <w:szCs w:val="28"/>
        </w:rPr>
        <w:t xml:space="preserve">чого </w:t>
      </w:r>
      <w:r w:rsidR="00353E81">
        <w:rPr>
          <w:sz w:val="28"/>
          <w:szCs w:val="28"/>
        </w:rPr>
        <w:t xml:space="preserve">вони </w:t>
      </w:r>
      <w:r w:rsidR="00353E81" w:rsidRPr="00353E81">
        <w:rPr>
          <w:sz w:val="28"/>
          <w:szCs w:val="28"/>
        </w:rPr>
        <w:t>не можуть використовуватися за первісним призначенням</w:t>
      </w:r>
      <w:r>
        <w:rPr>
          <w:sz w:val="28"/>
          <w:szCs w:val="28"/>
        </w:rPr>
        <w:t>;</w:t>
      </w:r>
    </w:p>
    <w:p w:rsidR="00FF5797" w:rsidRDefault="00E93858" w:rsidP="003167E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продовжити </w:t>
      </w:r>
      <w:r w:rsidR="00E34BA9">
        <w:rPr>
          <w:sz w:val="28"/>
          <w:szCs w:val="28"/>
        </w:rPr>
        <w:t xml:space="preserve">у 2021 році </w:t>
      </w:r>
      <w:r>
        <w:rPr>
          <w:sz w:val="28"/>
          <w:szCs w:val="28"/>
        </w:rPr>
        <w:t xml:space="preserve">дію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 </w:t>
      </w:r>
      <w:r w:rsidRPr="003167EB">
        <w:rPr>
          <w:sz w:val="28"/>
          <w:szCs w:val="28"/>
        </w:rPr>
        <w:t>52</w:t>
      </w:r>
      <w:r w:rsidRPr="003167EB">
        <w:rPr>
          <w:sz w:val="28"/>
          <w:szCs w:val="28"/>
          <w:vertAlign w:val="superscript"/>
        </w:rPr>
        <w:t>6</w:t>
      </w:r>
      <w:r w:rsidR="00642746">
        <w:rPr>
          <w:sz w:val="28"/>
          <w:szCs w:val="28"/>
        </w:rPr>
        <w:t>, 5</w:t>
      </w:r>
      <w:r w:rsidRPr="003167EB">
        <w:rPr>
          <w:sz w:val="28"/>
          <w:szCs w:val="28"/>
        </w:rPr>
        <w:t>2</w:t>
      </w:r>
      <w:r w:rsidRPr="003167EB">
        <w:rPr>
          <w:sz w:val="28"/>
          <w:szCs w:val="28"/>
          <w:vertAlign w:val="superscript"/>
        </w:rPr>
        <w:t>7</w:t>
      </w:r>
      <w:r w:rsidRPr="003167EB">
        <w:rPr>
          <w:sz w:val="28"/>
          <w:szCs w:val="28"/>
        </w:rPr>
        <w:t xml:space="preserve"> підрозділу 10 розділу ХХ ПК</w:t>
      </w:r>
      <w:r w:rsidR="003476F3">
        <w:rPr>
          <w:sz w:val="28"/>
          <w:szCs w:val="28"/>
        </w:rPr>
        <w:t>,</w:t>
      </w:r>
      <w:r w:rsidR="00E34BA9">
        <w:rPr>
          <w:sz w:val="28"/>
          <w:szCs w:val="28"/>
        </w:rPr>
        <w:t xml:space="preserve"> за якими </w:t>
      </w:r>
      <w:r w:rsidRPr="00E93858">
        <w:rPr>
          <w:sz w:val="28"/>
          <w:szCs w:val="28"/>
        </w:rPr>
        <w:t>орган</w:t>
      </w:r>
      <w:r w:rsidR="00B621FA">
        <w:rPr>
          <w:sz w:val="28"/>
          <w:szCs w:val="28"/>
        </w:rPr>
        <w:t>и</w:t>
      </w:r>
      <w:r w:rsidRPr="00E93858">
        <w:rPr>
          <w:sz w:val="28"/>
          <w:szCs w:val="28"/>
        </w:rPr>
        <w:t xml:space="preserve"> місцевого самоврядування </w:t>
      </w:r>
      <w:r w:rsidR="00B621FA">
        <w:rPr>
          <w:sz w:val="28"/>
          <w:szCs w:val="28"/>
        </w:rPr>
        <w:t xml:space="preserve">мають </w:t>
      </w:r>
      <w:r w:rsidRPr="00E93858">
        <w:rPr>
          <w:sz w:val="28"/>
          <w:szCs w:val="28"/>
        </w:rPr>
        <w:t>право прийняти рішення про внесення змін до прийнятого рішення про встановлення місцевих податків та/або зборів щодо зменшення ставок єдиного податку, та/або плати за землю, та/або податку на нерухоме майно, відмінне від земельної ділянки, щодо об’єктів нежитлової нерухомості, які перебувають у власності фізичних або юридичних осіб</w:t>
      </w:r>
      <w:r w:rsidR="00B621FA">
        <w:rPr>
          <w:sz w:val="28"/>
          <w:szCs w:val="28"/>
        </w:rPr>
        <w:t xml:space="preserve">. При цьому, </w:t>
      </w:r>
      <w:r>
        <w:rPr>
          <w:sz w:val="28"/>
          <w:szCs w:val="28"/>
        </w:rPr>
        <w:t>на такі рішення</w:t>
      </w:r>
      <w:r w:rsidR="00B621FA">
        <w:rPr>
          <w:sz w:val="28"/>
          <w:szCs w:val="28"/>
        </w:rPr>
        <w:t xml:space="preserve"> не поширюється </w:t>
      </w:r>
      <w:r>
        <w:rPr>
          <w:sz w:val="28"/>
          <w:szCs w:val="28"/>
        </w:rPr>
        <w:t>ді</w:t>
      </w:r>
      <w:r w:rsidR="00B621FA">
        <w:rPr>
          <w:sz w:val="28"/>
          <w:szCs w:val="28"/>
        </w:rPr>
        <w:t>я</w:t>
      </w:r>
      <w:r>
        <w:rPr>
          <w:sz w:val="28"/>
          <w:szCs w:val="28"/>
        </w:rPr>
        <w:t xml:space="preserve"> деяких положень ПК, з</w:t>
      </w:r>
      <w:r w:rsidRPr="00E93858">
        <w:rPr>
          <w:sz w:val="28"/>
          <w:szCs w:val="28"/>
        </w:rPr>
        <w:t>акон</w:t>
      </w:r>
      <w:r>
        <w:rPr>
          <w:sz w:val="28"/>
          <w:szCs w:val="28"/>
        </w:rPr>
        <w:t>ів</w:t>
      </w:r>
      <w:r w:rsidRPr="00E93858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>«</w:t>
      </w:r>
      <w:r w:rsidRPr="00E93858"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>
        <w:rPr>
          <w:sz w:val="28"/>
          <w:szCs w:val="28"/>
        </w:rPr>
        <w:t>»</w:t>
      </w:r>
      <w:r w:rsidRPr="00E93858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E93858">
        <w:rPr>
          <w:sz w:val="28"/>
          <w:szCs w:val="28"/>
        </w:rPr>
        <w:t>Про доступ до публічної інформації</w:t>
      </w:r>
      <w:r>
        <w:rPr>
          <w:sz w:val="28"/>
          <w:szCs w:val="28"/>
        </w:rPr>
        <w:t>»</w:t>
      </w:r>
      <w:r w:rsidRPr="00E93858">
        <w:rPr>
          <w:sz w:val="28"/>
          <w:szCs w:val="28"/>
        </w:rPr>
        <w:t xml:space="preserve">, </w:t>
      </w:r>
      <w:r w:rsidR="00B373A1" w:rsidRPr="00B373A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«</w:t>
      </w:r>
      <w:r w:rsidRPr="00E93858">
        <w:rPr>
          <w:sz w:val="28"/>
          <w:szCs w:val="28"/>
        </w:rPr>
        <w:t>Про державну допомогу суб’єктам господарювання</w:t>
      </w:r>
      <w:r>
        <w:rPr>
          <w:sz w:val="28"/>
          <w:szCs w:val="28"/>
        </w:rPr>
        <w:t>»</w:t>
      </w:r>
      <w:r w:rsidR="0070016E">
        <w:rPr>
          <w:sz w:val="28"/>
          <w:szCs w:val="28"/>
        </w:rPr>
        <w:t>;</w:t>
      </w:r>
    </w:p>
    <w:p w:rsidR="0070016E" w:rsidRDefault="0070016E" w:rsidP="003167E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застосовувати на період </w:t>
      </w:r>
      <w:r w:rsidRPr="0070016E">
        <w:rPr>
          <w:sz w:val="28"/>
          <w:szCs w:val="28"/>
        </w:rPr>
        <w:t xml:space="preserve">по останній календарний день місяця (включно), </w:t>
      </w:r>
      <w:r w:rsidR="003476F3">
        <w:rPr>
          <w:sz w:val="28"/>
          <w:szCs w:val="28"/>
        </w:rPr>
        <w:t>у</w:t>
      </w:r>
      <w:r w:rsidRPr="0070016E">
        <w:rPr>
          <w:sz w:val="28"/>
          <w:szCs w:val="28"/>
        </w:rPr>
        <w:t xml:space="preserve"> якому завершується дія карантину, встановленого Кабінетом Міністрів України на всій території України з метою запобігання поширенню на території України </w:t>
      </w:r>
      <w:proofErr w:type="spellStart"/>
      <w:r w:rsidRPr="0070016E">
        <w:rPr>
          <w:sz w:val="28"/>
          <w:szCs w:val="28"/>
        </w:rPr>
        <w:t>коронавірусної</w:t>
      </w:r>
      <w:proofErr w:type="spellEnd"/>
      <w:r w:rsidRPr="0070016E">
        <w:rPr>
          <w:sz w:val="28"/>
          <w:szCs w:val="28"/>
        </w:rPr>
        <w:t xml:space="preserve"> хвороби (COVID-19), для виробників лікарських засобів, що здійснюють виробництво дезінфекційних засобів з використанням спирту етилового, акцизний податок з якого справляється за ставкою 0 гривень за 1 літр 100-відсоткового спирту</w:t>
      </w:r>
      <w:r w:rsidR="003476F3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Pr="0070016E">
        <w:rPr>
          <w:sz w:val="28"/>
          <w:szCs w:val="28"/>
        </w:rPr>
        <w:t>собливості відпуску та отримання спирту</w:t>
      </w:r>
      <w:r>
        <w:rPr>
          <w:sz w:val="28"/>
          <w:szCs w:val="28"/>
        </w:rPr>
        <w:t>;</w:t>
      </w:r>
    </w:p>
    <w:p w:rsidR="0070016E" w:rsidRDefault="0070016E" w:rsidP="003167E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70016E">
        <w:rPr>
          <w:sz w:val="28"/>
          <w:szCs w:val="28"/>
        </w:rPr>
        <w:t>заборон</w:t>
      </w:r>
      <w:r>
        <w:rPr>
          <w:sz w:val="28"/>
          <w:szCs w:val="28"/>
        </w:rPr>
        <w:t>ити</w:t>
      </w:r>
      <w:r w:rsidRPr="0070016E">
        <w:rPr>
          <w:sz w:val="28"/>
          <w:szCs w:val="28"/>
        </w:rPr>
        <w:t xml:space="preserve"> проведення органами державного нагляду (контролю) планових заходів із здійснення державного нагляду (контролю) у сфері господарської діяльності</w:t>
      </w:r>
      <w:r w:rsidR="003476F3">
        <w:rPr>
          <w:sz w:val="28"/>
          <w:szCs w:val="28"/>
        </w:rPr>
        <w:t xml:space="preserve"> </w:t>
      </w:r>
      <w:r w:rsidRPr="0070016E">
        <w:rPr>
          <w:sz w:val="28"/>
          <w:szCs w:val="28"/>
        </w:rPr>
        <w:t xml:space="preserve">на період </w:t>
      </w:r>
      <w:r w:rsidR="00434847">
        <w:rPr>
          <w:sz w:val="28"/>
          <w:szCs w:val="28"/>
        </w:rPr>
        <w:t>вказаного</w:t>
      </w:r>
      <w:r w:rsidRPr="0070016E">
        <w:rPr>
          <w:sz w:val="28"/>
          <w:szCs w:val="28"/>
        </w:rPr>
        <w:t xml:space="preserve"> карантину</w:t>
      </w:r>
      <w:r w:rsidR="00434847">
        <w:rPr>
          <w:sz w:val="28"/>
          <w:szCs w:val="28"/>
        </w:rPr>
        <w:t>.</w:t>
      </w:r>
    </w:p>
    <w:p w:rsidR="009056D3" w:rsidRPr="009056D3" w:rsidRDefault="009056D3" w:rsidP="009056D3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056D3">
        <w:rPr>
          <w:sz w:val="28"/>
          <w:szCs w:val="28"/>
        </w:rPr>
        <w:lastRenderedPageBreak/>
        <w:t>Метою проекту, згідно із пояснювальною запискою до нього, є «</w:t>
      </w:r>
      <w:r w:rsidR="00010C6F" w:rsidRPr="00010C6F">
        <w:rPr>
          <w:sz w:val="28"/>
          <w:szCs w:val="28"/>
        </w:rPr>
        <w:t>запровадження у 2021 році дії додаткових заходів для підтримки платників податків</w:t>
      </w:r>
      <w:r w:rsidRPr="009056D3">
        <w:rPr>
          <w:sz w:val="28"/>
          <w:szCs w:val="28"/>
        </w:rPr>
        <w:t>».</w:t>
      </w:r>
    </w:p>
    <w:p w:rsidR="00A169C6" w:rsidRDefault="009056D3" w:rsidP="009056D3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056D3">
        <w:rPr>
          <w:sz w:val="28"/>
          <w:szCs w:val="28"/>
        </w:rPr>
        <w:t>Проект визначений як альтернативний д</w:t>
      </w:r>
      <w:r w:rsidR="00010C6F">
        <w:rPr>
          <w:sz w:val="28"/>
          <w:szCs w:val="28"/>
        </w:rPr>
        <w:t>о проект</w:t>
      </w:r>
      <w:r w:rsidR="003476F3">
        <w:rPr>
          <w:sz w:val="28"/>
          <w:szCs w:val="28"/>
        </w:rPr>
        <w:t xml:space="preserve">у закону </w:t>
      </w:r>
      <w:r w:rsidRPr="009056D3">
        <w:rPr>
          <w:sz w:val="28"/>
          <w:szCs w:val="28"/>
        </w:rPr>
        <w:t xml:space="preserve">реєстр. </w:t>
      </w:r>
      <w:r w:rsidR="003476F3">
        <w:rPr>
          <w:sz w:val="28"/>
          <w:szCs w:val="28"/>
        </w:rPr>
        <w:t>№</w:t>
      </w:r>
      <w:r w:rsidRPr="009056D3">
        <w:rPr>
          <w:sz w:val="28"/>
          <w:szCs w:val="28"/>
        </w:rPr>
        <w:t xml:space="preserve"> 4571 від 04.01.2021</w:t>
      </w:r>
      <w:r w:rsidR="00010C6F">
        <w:rPr>
          <w:sz w:val="28"/>
          <w:szCs w:val="28"/>
        </w:rPr>
        <w:t xml:space="preserve">, водночас повторює </w:t>
      </w:r>
      <w:r w:rsidR="003476F3">
        <w:rPr>
          <w:sz w:val="28"/>
          <w:szCs w:val="28"/>
        </w:rPr>
        <w:t>його</w:t>
      </w:r>
      <w:r w:rsidR="00010C6F">
        <w:rPr>
          <w:sz w:val="28"/>
          <w:szCs w:val="28"/>
        </w:rPr>
        <w:t xml:space="preserve"> положення лише </w:t>
      </w:r>
      <w:r w:rsidR="003476F3">
        <w:rPr>
          <w:sz w:val="28"/>
          <w:szCs w:val="28"/>
        </w:rPr>
        <w:t>у</w:t>
      </w:r>
      <w:r w:rsidR="00010C6F">
        <w:rPr>
          <w:sz w:val="28"/>
          <w:szCs w:val="28"/>
        </w:rPr>
        <w:t xml:space="preserve"> </w:t>
      </w:r>
      <w:r w:rsidRPr="009056D3">
        <w:rPr>
          <w:sz w:val="28"/>
          <w:szCs w:val="28"/>
        </w:rPr>
        <w:t xml:space="preserve">частині, що стосується повноважень органів місцевого самоврядування. </w:t>
      </w:r>
    </w:p>
    <w:p w:rsidR="009056D3" w:rsidRDefault="009056D3" w:rsidP="00884F69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056D3">
        <w:rPr>
          <w:color w:val="000000"/>
          <w:sz w:val="28"/>
          <w:szCs w:val="28"/>
        </w:rPr>
        <w:t>Головне управління, розглянувши проект,</w:t>
      </w:r>
      <w:r>
        <w:rPr>
          <w:color w:val="000000"/>
          <w:sz w:val="28"/>
          <w:szCs w:val="28"/>
        </w:rPr>
        <w:t xml:space="preserve"> вважає за доцільне зауважити наступне.</w:t>
      </w:r>
    </w:p>
    <w:p w:rsidR="003476F3" w:rsidRDefault="003476F3" w:rsidP="003476F3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3476F3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Згідно з </w:t>
      </w:r>
      <w:proofErr w:type="spellStart"/>
      <w:r>
        <w:rPr>
          <w:color w:val="000000"/>
          <w:sz w:val="28"/>
          <w:szCs w:val="28"/>
        </w:rPr>
        <w:t>абз</w:t>
      </w:r>
      <w:proofErr w:type="spellEnd"/>
      <w:r>
        <w:rPr>
          <w:color w:val="000000"/>
          <w:sz w:val="28"/>
          <w:szCs w:val="28"/>
        </w:rPr>
        <w:t xml:space="preserve">. 12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 xml:space="preserve">. </w:t>
      </w:r>
      <w:r w:rsidRPr="003476F3">
        <w:rPr>
          <w:sz w:val="28"/>
          <w:szCs w:val="28"/>
        </w:rPr>
        <w:t>14.1.191 п</w:t>
      </w:r>
      <w:r>
        <w:rPr>
          <w:sz w:val="28"/>
          <w:szCs w:val="28"/>
        </w:rPr>
        <w:t xml:space="preserve">. </w:t>
      </w:r>
      <w:r w:rsidRPr="003476F3">
        <w:rPr>
          <w:sz w:val="28"/>
          <w:szCs w:val="28"/>
        </w:rPr>
        <w:t>14.1 ст</w:t>
      </w:r>
      <w:r>
        <w:rPr>
          <w:sz w:val="28"/>
          <w:szCs w:val="28"/>
        </w:rPr>
        <w:t xml:space="preserve">. </w:t>
      </w:r>
      <w:r w:rsidRPr="003476F3">
        <w:rPr>
          <w:sz w:val="28"/>
          <w:szCs w:val="28"/>
        </w:rPr>
        <w:t>14</w:t>
      </w:r>
      <w:r>
        <w:rPr>
          <w:sz w:val="28"/>
          <w:szCs w:val="28"/>
        </w:rPr>
        <w:t xml:space="preserve"> ПК (у редакції проекту)</w:t>
      </w:r>
      <w:r w:rsidR="00211AD6">
        <w:rPr>
          <w:sz w:val="28"/>
          <w:szCs w:val="28"/>
        </w:rPr>
        <w:t xml:space="preserve"> </w:t>
      </w:r>
      <w:r>
        <w:rPr>
          <w:sz w:val="28"/>
          <w:szCs w:val="28"/>
        </w:rPr>
        <w:t>«н</w:t>
      </w:r>
      <w:r w:rsidRPr="00AF3731">
        <w:rPr>
          <w:sz w:val="28"/>
          <w:szCs w:val="28"/>
        </w:rPr>
        <w:t>е є постачанням товарів випадки, коли:</w:t>
      </w:r>
      <w:r>
        <w:rPr>
          <w:sz w:val="28"/>
          <w:szCs w:val="28"/>
        </w:rPr>
        <w:t xml:space="preserve"> </w:t>
      </w:r>
      <w:r w:rsidRPr="00AF3731">
        <w:rPr>
          <w:sz w:val="28"/>
          <w:szCs w:val="28"/>
        </w:rPr>
        <w:t xml:space="preserve">виробничі або невиробничі засоби, ліквідуються у зв’язку з їх знищенням або зруйнуванням, внаслідок дії обставин непереборної сили, в інших випадках, коли така ліквідація здійснюється без згоди платника податку, у тому числі в разі викрадення необоротних активів або коли платник податку </w:t>
      </w:r>
      <w:r w:rsidRPr="003476F3">
        <w:rPr>
          <w:i/>
          <w:sz w:val="28"/>
          <w:szCs w:val="28"/>
          <w:u w:val="single"/>
        </w:rPr>
        <w:t>разом</w:t>
      </w:r>
      <w:r w:rsidRPr="00AF3731">
        <w:rPr>
          <w:sz w:val="28"/>
          <w:szCs w:val="28"/>
        </w:rPr>
        <w:t xml:space="preserve"> надає контролюючому органу відповідний документ про знищення, розібрання або перетворення необоротних активів в інший спосіб, внаслідок чого вони не можуть використовуватися за первісним призначенням</w:t>
      </w:r>
      <w:r>
        <w:rPr>
          <w:sz w:val="28"/>
          <w:szCs w:val="28"/>
        </w:rPr>
        <w:t>». У даному випадку виникає питання, у чому полягає, власне, зміст доповнення вказаного припису словом «</w:t>
      </w:r>
      <w:r w:rsidRPr="003476F3">
        <w:rPr>
          <w:i/>
          <w:sz w:val="28"/>
          <w:szCs w:val="28"/>
          <w:u w:val="single"/>
        </w:rPr>
        <w:t>разом</w:t>
      </w:r>
      <w:r>
        <w:rPr>
          <w:sz w:val="28"/>
          <w:szCs w:val="28"/>
        </w:rPr>
        <w:t>».</w:t>
      </w:r>
      <w:r w:rsidR="005E1B74">
        <w:rPr>
          <w:sz w:val="28"/>
          <w:szCs w:val="28"/>
        </w:rPr>
        <w:t xml:space="preserve"> Аналогічне зауваження стосується </w:t>
      </w:r>
      <w:r w:rsidR="00B848A6">
        <w:rPr>
          <w:sz w:val="28"/>
          <w:szCs w:val="28"/>
        </w:rPr>
        <w:t>й</w:t>
      </w:r>
      <w:r w:rsidR="005E1B74">
        <w:rPr>
          <w:sz w:val="28"/>
          <w:szCs w:val="28"/>
        </w:rPr>
        <w:t xml:space="preserve"> </w:t>
      </w:r>
      <w:proofErr w:type="spellStart"/>
      <w:r w:rsidR="005E1B74">
        <w:rPr>
          <w:color w:val="000000"/>
          <w:sz w:val="28"/>
          <w:szCs w:val="28"/>
        </w:rPr>
        <w:t>абз</w:t>
      </w:r>
      <w:proofErr w:type="spellEnd"/>
      <w:r w:rsidR="005E1B74">
        <w:rPr>
          <w:color w:val="000000"/>
          <w:sz w:val="28"/>
          <w:szCs w:val="28"/>
        </w:rPr>
        <w:t xml:space="preserve">. 13 </w:t>
      </w:r>
      <w:proofErr w:type="spellStart"/>
      <w:r w:rsidR="005E1B74">
        <w:rPr>
          <w:color w:val="000000"/>
          <w:sz w:val="28"/>
          <w:szCs w:val="28"/>
        </w:rPr>
        <w:t>пп</w:t>
      </w:r>
      <w:proofErr w:type="spellEnd"/>
      <w:r w:rsidR="005E1B74">
        <w:rPr>
          <w:color w:val="000000"/>
          <w:sz w:val="28"/>
          <w:szCs w:val="28"/>
        </w:rPr>
        <w:t xml:space="preserve">. </w:t>
      </w:r>
      <w:r w:rsidR="005E1B74" w:rsidRPr="003476F3">
        <w:rPr>
          <w:sz w:val="28"/>
          <w:szCs w:val="28"/>
        </w:rPr>
        <w:t>14.1.191 п</w:t>
      </w:r>
      <w:r w:rsidR="005E1B74">
        <w:rPr>
          <w:sz w:val="28"/>
          <w:szCs w:val="28"/>
        </w:rPr>
        <w:t xml:space="preserve">. </w:t>
      </w:r>
      <w:r w:rsidR="005E1B74" w:rsidRPr="003476F3">
        <w:rPr>
          <w:sz w:val="28"/>
          <w:szCs w:val="28"/>
        </w:rPr>
        <w:t>14.1 ст</w:t>
      </w:r>
      <w:r w:rsidR="005E1B74">
        <w:rPr>
          <w:sz w:val="28"/>
          <w:szCs w:val="28"/>
        </w:rPr>
        <w:t xml:space="preserve">. </w:t>
      </w:r>
      <w:r w:rsidR="005E1B74" w:rsidRPr="003476F3">
        <w:rPr>
          <w:sz w:val="28"/>
          <w:szCs w:val="28"/>
        </w:rPr>
        <w:t>14</w:t>
      </w:r>
      <w:r w:rsidR="005E1B74">
        <w:rPr>
          <w:sz w:val="28"/>
          <w:szCs w:val="28"/>
        </w:rPr>
        <w:t xml:space="preserve"> ПК (у редакції проекту),</w:t>
      </w:r>
    </w:p>
    <w:p w:rsidR="003476F3" w:rsidRDefault="003476F3" w:rsidP="003476F3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Принагідно звертаємо увагу</w:t>
      </w:r>
      <w:r w:rsidR="0044687D">
        <w:rPr>
          <w:sz w:val="28"/>
          <w:szCs w:val="28"/>
        </w:rPr>
        <w:t xml:space="preserve"> на те</w:t>
      </w:r>
      <w:r>
        <w:rPr>
          <w:sz w:val="28"/>
          <w:szCs w:val="28"/>
        </w:rPr>
        <w:t xml:space="preserve">, що в оновленому приписі </w:t>
      </w:r>
      <w:proofErr w:type="spellStart"/>
      <w:r>
        <w:rPr>
          <w:sz w:val="28"/>
          <w:szCs w:val="28"/>
        </w:rPr>
        <w:t>пропущено</w:t>
      </w:r>
      <w:proofErr w:type="spellEnd"/>
      <w:r>
        <w:rPr>
          <w:sz w:val="28"/>
          <w:szCs w:val="28"/>
        </w:rPr>
        <w:t xml:space="preserve"> слово «основні» перед словом «виробничі»</w:t>
      </w:r>
      <w:r w:rsidR="0044687D">
        <w:rPr>
          <w:sz w:val="28"/>
          <w:szCs w:val="28"/>
        </w:rPr>
        <w:t>. У цій частині текст проекту відрізняється від тексту у порівняльній таблиці до проекту.</w:t>
      </w:r>
    </w:p>
    <w:p w:rsidR="00FD7FA6" w:rsidRDefault="00334FA3" w:rsidP="003476F3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8C694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D7FA6" w:rsidRPr="00434847">
        <w:rPr>
          <w:color w:val="000000"/>
          <w:sz w:val="28"/>
          <w:szCs w:val="28"/>
        </w:rPr>
        <w:t xml:space="preserve">В </w:t>
      </w:r>
      <w:bookmarkStart w:id="0" w:name="_Hlk62242595"/>
      <w:r w:rsidR="00FD7FA6" w:rsidRPr="00434847">
        <w:rPr>
          <w:color w:val="000000"/>
          <w:sz w:val="28"/>
          <w:szCs w:val="28"/>
        </w:rPr>
        <w:t xml:space="preserve">оновлених </w:t>
      </w:r>
      <w:proofErr w:type="spellStart"/>
      <w:r w:rsidR="00FD7FA6" w:rsidRPr="00434847">
        <w:rPr>
          <w:color w:val="000000"/>
          <w:sz w:val="28"/>
          <w:szCs w:val="28"/>
        </w:rPr>
        <w:t>пп</w:t>
      </w:r>
      <w:proofErr w:type="spellEnd"/>
      <w:r w:rsidR="00FD7FA6" w:rsidRPr="00434847">
        <w:rPr>
          <w:color w:val="000000"/>
          <w:sz w:val="28"/>
          <w:szCs w:val="28"/>
        </w:rPr>
        <w:t>.</w:t>
      </w:r>
      <w:r w:rsidR="002C5FF5" w:rsidRPr="00434847">
        <w:rPr>
          <w:color w:val="000000"/>
          <w:sz w:val="28"/>
          <w:szCs w:val="28"/>
        </w:rPr>
        <w:t> </w:t>
      </w:r>
      <w:r w:rsidR="00FD7FA6" w:rsidRPr="00434847">
        <w:rPr>
          <w:color w:val="000000"/>
          <w:sz w:val="28"/>
          <w:szCs w:val="28"/>
        </w:rPr>
        <w:t>14.1.191 п.</w:t>
      </w:r>
      <w:r w:rsidR="002C5FF5" w:rsidRPr="00434847">
        <w:rPr>
          <w:color w:val="000000"/>
          <w:sz w:val="28"/>
          <w:szCs w:val="28"/>
        </w:rPr>
        <w:t> </w:t>
      </w:r>
      <w:r w:rsidR="00FD7FA6" w:rsidRPr="00434847">
        <w:rPr>
          <w:color w:val="000000"/>
          <w:sz w:val="28"/>
          <w:szCs w:val="28"/>
        </w:rPr>
        <w:t>14.1 ст.</w:t>
      </w:r>
      <w:r w:rsidR="002C5FF5" w:rsidRPr="00434847">
        <w:rPr>
          <w:color w:val="000000"/>
          <w:sz w:val="28"/>
          <w:szCs w:val="28"/>
        </w:rPr>
        <w:t> </w:t>
      </w:r>
      <w:r w:rsidR="00FD7FA6" w:rsidRPr="00434847">
        <w:rPr>
          <w:color w:val="000000"/>
          <w:sz w:val="28"/>
          <w:szCs w:val="28"/>
        </w:rPr>
        <w:t>14, п. 189.9 ст. 189 ПК</w:t>
      </w:r>
      <w:bookmarkEnd w:id="0"/>
      <w:r w:rsidR="00FD7FA6" w:rsidRPr="00434847">
        <w:rPr>
          <w:color w:val="000000"/>
          <w:sz w:val="28"/>
          <w:szCs w:val="28"/>
        </w:rPr>
        <w:t xml:space="preserve"> пропонується врегулювати деякі особливості оподаткування податком на додану вартість операцій зі знищення товарів у зв'язку з </w:t>
      </w:r>
      <w:r w:rsidR="00353E81" w:rsidRPr="00353E81">
        <w:rPr>
          <w:color w:val="000000"/>
          <w:sz w:val="28"/>
          <w:szCs w:val="28"/>
        </w:rPr>
        <w:t xml:space="preserve">форс-мажорними обставинами, зокрема, сільськогосподарських рослин, насаджень, тварин, а також знищення їх в інший спосіб, внаслідок </w:t>
      </w:r>
      <w:r w:rsidR="008C6948">
        <w:rPr>
          <w:color w:val="000000"/>
          <w:sz w:val="28"/>
          <w:szCs w:val="28"/>
        </w:rPr>
        <w:t xml:space="preserve">чого </w:t>
      </w:r>
      <w:r w:rsidR="00353E81" w:rsidRPr="00353E81">
        <w:rPr>
          <w:color w:val="000000"/>
          <w:sz w:val="28"/>
          <w:szCs w:val="28"/>
        </w:rPr>
        <w:t>вони не можуть використовуватися за первісним призначенням</w:t>
      </w:r>
      <w:r w:rsidR="00FD7FA6" w:rsidRPr="00434847">
        <w:rPr>
          <w:color w:val="000000"/>
          <w:sz w:val="28"/>
          <w:szCs w:val="28"/>
        </w:rPr>
        <w:t>.</w:t>
      </w:r>
    </w:p>
    <w:p w:rsidR="00FD7FA6" w:rsidRDefault="00C75102" w:rsidP="00C75102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Викликає застереження конструкція «</w:t>
      </w:r>
      <w:r w:rsidRPr="007C3224">
        <w:rPr>
          <w:sz w:val="28"/>
          <w:szCs w:val="28"/>
        </w:rPr>
        <w:t xml:space="preserve">основні виробничі </w:t>
      </w:r>
      <w:r>
        <w:rPr>
          <w:sz w:val="28"/>
          <w:szCs w:val="28"/>
        </w:rPr>
        <w:t xml:space="preserve">…; </w:t>
      </w:r>
      <w:r w:rsidRPr="00C75102">
        <w:rPr>
          <w:sz w:val="28"/>
          <w:szCs w:val="28"/>
        </w:rPr>
        <w:t>сільськогосподарські рослини, насадження</w:t>
      </w:r>
      <w:r>
        <w:rPr>
          <w:sz w:val="28"/>
          <w:szCs w:val="28"/>
        </w:rPr>
        <w:t xml:space="preserve"> …</w:t>
      </w:r>
      <w:r w:rsidR="009B59CB">
        <w:rPr>
          <w:sz w:val="28"/>
          <w:szCs w:val="28"/>
        </w:rPr>
        <w:t>, … сільськогосподарські тварини</w:t>
      </w:r>
      <w:r>
        <w:rPr>
          <w:sz w:val="28"/>
          <w:szCs w:val="28"/>
        </w:rPr>
        <w:t xml:space="preserve">» (абзаци 12, 13 </w:t>
      </w:r>
      <w:proofErr w:type="spellStart"/>
      <w:r w:rsidRPr="00434847">
        <w:rPr>
          <w:color w:val="000000"/>
          <w:sz w:val="28"/>
          <w:szCs w:val="28"/>
        </w:rPr>
        <w:t>пп</w:t>
      </w:r>
      <w:proofErr w:type="spellEnd"/>
      <w:r w:rsidRPr="00434847">
        <w:rPr>
          <w:color w:val="000000"/>
          <w:sz w:val="28"/>
          <w:szCs w:val="28"/>
        </w:rPr>
        <w:t>. 14.1.191 п. 14.1 ст. 14</w:t>
      </w:r>
      <w:r>
        <w:rPr>
          <w:color w:val="000000"/>
          <w:sz w:val="28"/>
          <w:szCs w:val="28"/>
        </w:rPr>
        <w:t xml:space="preserve">, абзаци 2, 3 </w:t>
      </w:r>
      <w:r w:rsidRPr="00434847">
        <w:rPr>
          <w:color w:val="000000"/>
          <w:sz w:val="28"/>
          <w:szCs w:val="28"/>
        </w:rPr>
        <w:t>п. 189.9 ст. 189 ПК</w:t>
      </w:r>
      <w:r>
        <w:rPr>
          <w:color w:val="000000"/>
          <w:sz w:val="28"/>
          <w:szCs w:val="28"/>
        </w:rPr>
        <w:t xml:space="preserve"> у редакції проекту)</w:t>
      </w:r>
      <w:r>
        <w:rPr>
          <w:sz w:val="28"/>
          <w:szCs w:val="28"/>
        </w:rPr>
        <w:t>. Річ у тому, що окремі</w:t>
      </w:r>
      <w:r w:rsidRPr="00353E81">
        <w:rPr>
          <w:color w:val="000000"/>
          <w:sz w:val="28"/>
          <w:szCs w:val="28"/>
        </w:rPr>
        <w:t xml:space="preserve"> біологічні активи за своїм економічним змістом належать до основних засобів</w:t>
      </w:r>
      <w:r w:rsidR="00F20E6D">
        <w:rPr>
          <w:color w:val="000000"/>
          <w:sz w:val="28"/>
          <w:szCs w:val="28"/>
        </w:rPr>
        <w:t>. Такими, зокрема, є</w:t>
      </w:r>
      <w:r w:rsidRPr="00353E81">
        <w:rPr>
          <w:color w:val="000000"/>
          <w:sz w:val="28"/>
          <w:szCs w:val="28"/>
        </w:rPr>
        <w:t>: багаторічні насадження та плодоносні рослини, деякі тварини тощо</w:t>
      </w:r>
      <w:r w:rsidR="002F7977" w:rsidRPr="002F7977">
        <w:rPr>
          <w:color w:val="000000"/>
          <w:sz w:val="28"/>
          <w:szCs w:val="28"/>
        </w:rPr>
        <w:t xml:space="preserve"> </w:t>
      </w:r>
      <w:r w:rsidR="00F20E6D">
        <w:rPr>
          <w:color w:val="000000"/>
          <w:sz w:val="28"/>
          <w:szCs w:val="28"/>
        </w:rPr>
        <w:t>(</w:t>
      </w:r>
      <w:r w:rsidRPr="00353E81">
        <w:rPr>
          <w:color w:val="000000"/>
          <w:sz w:val="28"/>
          <w:szCs w:val="28"/>
        </w:rPr>
        <w:t>див., наприклад, Положення (стандарт) бухгалтерського обліку 7 «Основні засоби», затверджене наказом Міністерства фінансів України від 27.04.2000</w:t>
      </w:r>
      <w:r w:rsidR="002F7977" w:rsidRPr="002F7977">
        <w:rPr>
          <w:color w:val="000000"/>
          <w:sz w:val="28"/>
          <w:szCs w:val="28"/>
        </w:rPr>
        <w:t xml:space="preserve"> </w:t>
      </w:r>
      <w:r w:rsidRPr="00353E81">
        <w:rPr>
          <w:color w:val="000000"/>
          <w:sz w:val="28"/>
          <w:szCs w:val="28"/>
        </w:rPr>
        <w:t>№ 92).</w:t>
      </w:r>
      <w:r w:rsidR="00D04A74">
        <w:rPr>
          <w:color w:val="000000"/>
          <w:sz w:val="28"/>
          <w:szCs w:val="28"/>
        </w:rPr>
        <w:t xml:space="preserve"> Відтак, в</w:t>
      </w:r>
      <w:r w:rsidR="00FD7FA6" w:rsidRPr="00353E81">
        <w:rPr>
          <w:color w:val="000000"/>
          <w:sz w:val="28"/>
          <w:szCs w:val="28"/>
        </w:rPr>
        <w:t xml:space="preserve">иглядає вразливою пропозиція оновленого п. 189.9 ст. 189 ПК визначати базу оподаткування для основних виробничих або невиробничих засобів – за звичайними цінами, але не нижче балансової вартості на момент їх ліквідації, а для сільськогосподарських рослин, насаджень, тварин – за цінами придбання товарів/послуг, що придбані з податком на додану вартість та використані для виробництва (вирощування) таких сільськогосподарських рослин, насаджень, тварин, та які не були включені до вартості інших товарів/послуг, операції з постачання яких підлягають оподаткуванню. </w:t>
      </w:r>
    </w:p>
    <w:p w:rsidR="00353E81" w:rsidRDefault="00353E81" w:rsidP="00D04A74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D92713">
        <w:rPr>
          <w:color w:val="000000"/>
          <w:sz w:val="28"/>
          <w:szCs w:val="28"/>
        </w:rPr>
        <w:lastRenderedPageBreak/>
        <w:t xml:space="preserve">Принагідно </w:t>
      </w:r>
      <w:r>
        <w:rPr>
          <w:color w:val="000000"/>
          <w:sz w:val="28"/>
          <w:szCs w:val="28"/>
        </w:rPr>
        <w:t xml:space="preserve">також </w:t>
      </w:r>
      <w:r w:rsidRPr="00D92713">
        <w:rPr>
          <w:color w:val="000000"/>
          <w:sz w:val="28"/>
          <w:szCs w:val="28"/>
        </w:rPr>
        <w:t>зауважимо, що у супровідних до проекту документах внесена пропозиція жодним чином не обґрунтовується.</w:t>
      </w:r>
    </w:p>
    <w:p w:rsidR="00745645" w:rsidRDefault="003837C4" w:rsidP="000C5938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53E81" w:rsidRPr="005E1B74">
        <w:rPr>
          <w:color w:val="000000"/>
          <w:sz w:val="28"/>
          <w:szCs w:val="28"/>
        </w:rPr>
        <w:t>.2. В</w:t>
      </w:r>
      <w:r w:rsidR="005966F5" w:rsidRPr="005E1B74">
        <w:rPr>
          <w:color w:val="000000"/>
          <w:sz w:val="28"/>
          <w:szCs w:val="28"/>
        </w:rPr>
        <w:t xml:space="preserve">икликає застереження </w:t>
      </w:r>
      <w:r w:rsidR="000C683D">
        <w:rPr>
          <w:color w:val="000000"/>
          <w:sz w:val="28"/>
          <w:szCs w:val="28"/>
        </w:rPr>
        <w:t xml:space="preserve">в </w:t>
      </w:r>
      <w:proofErr w:type="spellStart"/>
      <w:r w:rsidR="00745645" w:rsidRPr="005E1B74">
        <w:rPr>
          <w:color w:val="000000"/>
          <w:sz w:val="28"/>
          <w:szCs w:val="28"/>
        </w:rPr>
        <w:t>абз</w:t>
      </w:r>
      <w:proofErr w:type="spellEnd"/>
      <w:r w:rsidR="00745645" w:rsidRPr="005E1B74">
        <w:rPr>
          <w:color w:val="000000"/>
          <w:sz w:val="28"/>
          <w:szCs w:val="28"/>
        </w:rPr>
        <w:t xml:space="preserve">. 13 </w:t>
      </w:r>
      <w:proofErr w:type="spellStart"/>
      <w:r w:rsidR="00745645" w:rsidRPr="005E1B74">
        <w:rPr>
          <w:color w:val="000000"/>
          <w:sz w:val="28"/>
          <w:szCs w:val="28"/>
        </w:rPr>
        <w:t>пп</w:t>
      </w:r>
      <w:proofErr w:type="spellEnd"/>
      <w:r w:rsidR="00745645" w:rsidRPr="005E1B74">
        <w:rPr>
          <w:color w:val="000000"/>
          <w:sz w:val="28"/>
          <w:szCs w:val="28"/>
        </w:rPr>
        <w:t>.</w:t>
      </w:r>
      <w:r w:rsidR="005966F5" w:rsidRPr="005E1B74">
        <w:rPr>
          <w:color w:val="000000"/>
          <w:sz w:val="28"/>
          <w:szCs w:val="28"/>
        </w:rPr>
        <w:t> </w:t>
      </w:r>
      <w:r w:rsidR="00745645" w:rsidRPr="005E1B74">
        <w:rPr>
          <w:color w:val="000000"/>
          <w:sz w:val="28"/>
          <w:szCs w:val="28"/>
        </w:rPr>
        <w:t>14.1.191 п. 14.1 ст. 14</w:t>
      </w:r>
      <w:r w:rsidR="000C683D">
        <w:rPr>
          <w:color w:val="000000"/>
          <w:sz w:val="28"/>
          <w:szCs w:val="28"/>
        </w:rPr>
        <w:t xml:space="preserve"> ПК</w:t>
      </w:r>
      <w:r w:rsidR="002F7977" w:rsidRPr="002F7977">
        <w:rPr>
          <w:color w:val="000000"/>
          <w:sz w:val="28"/>
          <w:szCs w:val="28"/>
          <w:lang w:val="ru-RU"/>
        </w:rPr>
        <w:t xml:space="preserve">                              </w:t>
      </w:r>
      <w:r w:rsidR="000C683D">
        <w:rPr>
          <w:color w:val="000000"/>
          <w:sz w:val="28"/>
          <w:szCs w:val="28"/>
        </w:rPr>
        <w:t xml:space="preserve"> (у редакції проекту)</w:t>
      </w:r>
      <w:r w:rsidR="00745645" w:rsidRPr="005E1B74">
        <w:rPr>
          <w:color w:val="000000"/>
          <w:sz w:val="28"/>
          <w:szCs w:val="28"/>
        </w:rPr>
        <w:t xml:space="preserve"> </w:t>
      </w:r>
      <w:r w:rsidR="000C683D">
        <w:rPr>
          <w:color w:val="000000"/>
          <w:sz w:val="28"/>
          <w:szCs w:val="28"/>
        </w:rPr>
        <w:t xml:space="preserve">уточнення, </w:t>
      </w:r>
      <w:r w:rsidR="005966F5" w:rsidRPr="005E1B74">
        <w:rPr>
          <w:color w:val="000000"/>
          <w:sz w:val="28"/>
          <w:szCs w:val="28"/>
        </w:rPr>
        <w:t>з</w:t>
      </w:r>
      <w:r w:rsidR="00745645" w:rsidRPr="005E1B74">
        <w:rPr>
          <w:color w:val="000000"/>
          <w:sz w:val="28"/>
          <w:szCs w:val="28"/>
        </w:rPr>
        <w:t xml:space="preserve">гідно з яким  не є постачанням товарів випадки, коли платник податку разом надає контролюючому органу відповідний документ про знищення </w:t>
      </w:r>
      <w:r w:rsidR="003168B3" w:rsidRPr="003168B3">
        <w:rPr>
          <w:sz w:val="28"/>
          <w:szCs w:val="28"/>
        </w:rPr>
        <w:t>сільськогосподарських рослин, насаджень, сільськогосподарських тварин</w:t>
      </w:r>
      <w:r w:rsidR="003168B3" w:rsidRPr="007C3224">
        <w:rPr>
          <w:b/>
          <w:sz w:val="28"/>
          <w:szCs w:val="28"/>
        </w:rPr>
        <w:t xml:space="preserve"> </w:t>
      </w:r>
      <w:r w:rsidR="00745645" w:rsidRPr="005E1B74">
        <w:rPr>
          <w:i/>
          <w:color w:val="000000"/>
          <w:sz w:val="28"/>
          <w:szCs w:val="28"/>
        </w:rPr>
        <w:t>в інший спосіб</w:t>
      </w:r>
      <w:r w:rsidR="00745645" w:rsidRPr="005E1B74">
        <w:rPr>
          <w:color w:val="000000"/>
          <w:sz w:val="28"/>
          <w:szCs w:val="28"/>
        </w:rPr>
        <w:t xml:space="preserve">, </w:t>
      </w:r>
      <w:r w:rsidR="00745645" w:rsidRPr="005E1B74">
        <w:rPr>
          <w:i/>
          <w:color w:val="000000"/>
          <w:sz w:val="28"/>
          <w:szCs w:val="28"/>
        </w:rPr>
        <w:t>внаслідок чого такі рослини, насадження, тварини не можуть використовуватися за первісним призначенням</w:t>
      </w:r>
      <w:r w:rsidR="003168B3">
        <w:rPr>
          <w:i/>
          <w:color w:val="000000"/>
          <w:sz w:val="28"/>
          <w:szCs w:val="28"/>
        </w:rPr>
        <w:t>.</w:t>
      </w:r>
      <w:r w:rsidR="005966F5" w:rsidRPr="005E1B74">
        <w:rPr>
          <w:color w:val="000000"/>
          <w:sz w:val="28"/>
          <w:szCs w:val="28"/>
        </w:rPr>
        <w:t xml:space="preserve"> </w:t>
      </w:r>
      <w:r w:rsidR="003168B3">
        <w:rPr>
          <w:color w:val="000000"/>
          <w:sz w:val="28"/>
          <w:szCs w:val="28"/>
        </w:rPr>
        <w:t>З</w:t>
      </w:r>
      <w:r w:rsidR="005966F5" w:rsidRPr="005E1B74">
        <w:rPr>
          <w:color w:val="000000"/>
          <w:sz w:val="28"/>
          <w:szCs w:val="28"/>
        </w:rPr>
        <w:t xml:space="preserve">а змістом </w:t>
      </w:r>
      <w:r w:rsidR="003168B3">
        <w:rPr>
          <w:color w:val="000000"/>
          <w:sz w:val="28"/>
          <w:szCs w:val="28"/>
        </w:rPr>
        <w:t xml:space="preserve">вказаного припису, зокрема, виникає питання щодо того, </w:t>
      </w:r>
      <w:r w:rsidR="005966F5" w:rsidRPr="005E1B74">
        <w:rPr>
          <w:color w:val="000000"/>
          <w:sz w:val="28"/>
          <w:szCs w:val="28"/>
        </w:rPr>
        <w:t xml:space="preserve">про які саме способи знищення </w:t>
      </w:r>
      <w:r w:rsidR="003168B3">
        <w:rPr>
          <w:color w:val="000000"/>
          <w:sz w:val="28"/>
          <w:szCs w:val="28"/>
        </w:rPr>
        <w:t xml:space="preserve">вказаних активів </w:t>
      </w:r>
      <w:r w:rsidR="005966F5" w:rsidRPr="005E1B74">
        <w:rPr>
          <w:color w:val="000000"/>
          <w:sz w:val="28"/>
          <w:szCs w:val="28"/>
        </w:rPr>
        <w:t>йдеться</w:t>
      </w:r>
      <w:r w:rsidR="00FB0A4C" w:rsidRPr="005E1B74">
        <w:rPr>
          <w:color w:val="000000"/>
          <w:sz w:val="28"/>
          <w:szCs w:val="28"/>
        </w:rPr>
        <w:t xml:space="preserve"> та що розуміється під формулюванням «не можуть використовуватися за первісним призначенням» саме в </w:t>
      </w:r>
      <w:r w:rsidR="008D7D51">
        <w:rPr>
          <w:color w:val="000000"/>
          <w:sz w:val="28"/>
          <w:szCs w:val="28"/>
        </w:rPr>
        <w:t xml:space="preserve">контексті таких активів, як </w:t>
      </w:r>
      <w:r w:rsidR="00FB0A4C" w:rsidRPr="005E1B74">
        <w:rPr>
          <w:color w:val="000000"/>
          <w:sz w:val="28"/>
          <w:szCs w:val="28"/>
        </w:rPr>
        <w:t>рослин</w:t>
      </w:r>
      <w:r w:rsidR="008D7D51">
        <w:rPr>
          <w:color w:val="000000"/>
          <w:sz w:val="28"/>
          <w:szCs w:val="28"/>
        </w:rPr>
        <w:t>и</w:t>
      </w:r>
      <w:r w:rsidR="00FB0A4C" w:rsidRPr="005E1B74">
        <w:rPr>
          <w:color w:val="000000"/>
          <w:sz w:val="28"/>
          <w:szCs w:val="28"/>
        </w:rPr>
        <w:t>, насаджен</w:t>
      </w:r>
      <w:r w:rsidR="008D7D51">
        <w:rPr>
          <w:color w:val="000000"/>
          <w:sz w:val="28"/>
          <w:szCs w:val="28"/>
        </w:rPr>
        <w:t>ня</w:t>
      </w:r>
      <w:r w:rsidR="00FB0A4C" w:rsidRPr="005E1B74">
        <w:rPr>
          <w:color w:val="000000"/>
          <w:sz w:val="28"/>
          <w:szCs w:val="28"/>
        </w:rPr>
        <w:t>, тварин</w:t>
      </w:r>
      <w:r w:rsidR="008D7D51">
        <w:rPr>
          <w:color w:val="000000"/>
          <w:sz w:val="28"/>
          <w:szCs w:val="28"/>
        </w:rPr>
        <w:t>и</w:t>
      </w:r>
      <w:r w:rsidR="00CB6F6A" w:rsidRPr="005E1B74">
        <w:rPr>
          <w:color w:val="000000"/>
          <w:sz w:val="28"/>
          <w:szCs w:val="28"/>
        </w:rPr>
        <w:t xml:space="preserve">. Зокрема, </w:t>
      </w:r>
      <w:r w:rsidR="00FB0A4C" w:rsidRPr="005E1B74">
        <w:rPr>
          <w:color w:val="000000"/>
          <w:sz w:val="28"/>
          <w:szCs w:val="28"/>
        </w:rPr>
        <w:t xml:space="preserve">під такі критерії, на наш погляд, можуть підпадати </w:t>
      </w:r>
      <w:r w:rsidR="00434847" w:rsidRPr="005E1B74">
        <w:rPr>
          <w:color w:val="000000"/>
          <w:sz w:val="28"/>
          <w:szCs w:val="28"/>
        </w:rPr>
        <w:t xml:space="preserve">і </w:t>
      </w:r>
      <w:r w:rsidR="00FB0A4C" w:rsidRPr="005E1B74">
        <w:rPr>
          <w:color w:val="000000"/>
          <w:sz w:val="28"/>
          <w:szCs w:val="28"/>
        </w:rPr>
        <w:t>біологічні активи, перероблені, наприклад, після збирання врожаю</w:t>
      </w:r>
      <w:r w:rsidR="00CB6F6A" w:rsidRPr="005E1B74">
        <w:rPr>
          <w:color w:val="000000"/>
          <w:sz w:val="28"/>
          <w:szCs w:val="28"/>
        </w:rPr>
        <w:t>, що на практиці може призвести до ризиків мінімізації податків.</w:t>
      </w:r>
    </w:p>
    <w:p w:rsidR="003837C4" w:rsidRDefault="00CD754E" w:rsidP="000C5938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Принагідно зауважимо, що вказане уточнення відсутнє в п. «б» оновленого п. 189.9 ст. 189 ПК, припис якого, вочевидь, мав би кореспондуватись з приписом </w:t>
      </w:r>
      <w:proofErr w:type="spellStart"/>
      <w:r>
        <w:rPr>
          <w:color w:val="000000"/>
          <w:sz w:val="28"/>
          <w:szCs w:val="28"/>
        </w:rPr>
        <w:t>абз</w:t>
      </w:r>
      <w:proofErr w:type="spellEnd"/>
      <w:r>
        <w:rPr>
          <w:color w:val="000000"/>
          <w:sz w:val="28"/>
          <w:szCs w:val="28"/>
        </w:rPr>
        <w:t xml:space="preserve">. 13 </w:t>
      </w:r>
      <w:proofErr w:type="spellStart"/>
      <w:r w:rsidRPr="005E1B74">
        <w:rPr>
          <w:color w:val="000000"/>
          <w:sz w:val="28"/>
          <w:szCs w:val="28"/>
        </w:rPr>
        <w:t>пп</w:t>
      </w:r>
      <w:proofErr w:type="spellEnd"/>
      <w:r w:rsidRPr="005E1B74">
        <w:rPr>
          <w:color w:val="000000"/>
          <w:sz w:val="28"/>
          <w:szCs w:val="28"/>
        </w:rPr>
        <w:t>. 14.1.191 п. 14.1 ст. 14</w:t>
      </w:r>
      <w:r>
        <w:rPr>
          <w:color w:val="000000"/>
          <w:sz w:val="28"/>
          <w:szCs w:val="28"/>
        </w:rPr>
        <w:t xml:space="preserve"> ПК (у редакції проекту).</w:t>
      </w:r>
    </w:p>
    <w:p w:rsidR="00652D98" w:rsidRDefault="00634785" w:rsidP="00634785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634785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FB6CC7">
        <w:rPr>
          <w:color w:val="000000"/>
          <w:sz w:val="28"/>
          <w:szCs w:val="28"/>
        </w:rPr>
        <w:t>Ви</w:t>
      </w:r>
      <w:r w:rsidR="00652D98">
        <w:rPr>
          <w:color w:val="000000"/>
          <w:sz w:val="28"/>
          <w:szCs w:val="28"/>
        </w:rPr>
        <w:t xml:space="preserve">никає питання, у чому, власне, полягає особливість механізму подання платниками податків контролюючому органу документів про знищення основних виробничих та невиробничих засобів, </w:t>
      </w:r>
      <w:r w:rsidR="00652D98" w:rsidRPr="00124B1D">
        <w:rPr>
          <w:color w:val="000000"/>
          <w:sz w:val="28"/>
          <w:szCs w:val="28"/>
        </w:rPr>
        <w:t>сільськогосподарськ</w:t>
      </w:r>
      <w:r w:rsidR="00652D98">
        <w:rPr>
          <w:color w:val="000000"/>
          <w:sz w:val="28"/>
          <w:szCs w:val="28"/>
        </w:rPr>
        <w:t>их</w:t>
      </w:r>
      <w:r w:rsidR="00652D98" w:rsidRPr="00124B1D">
        <w:rPr>
          <w:color w:val="000000"/>
          <w:sz w:val="28"/>
          <w:szCs w:val="28"/>
        </w:rPr>
        <w:t xml:space="preserve"> рослин, </w:t>
      </w:r>
      <w:r w:rsidR="00652D98">
        <w:rPr>
          <w:color w:val="000000"/>
          <w:sz w:val="28"/>
          <w:szCs w:val="28"/>
        </w:rPr>
        <w:t xml:space="preserve">насаджень, тварин у період до </w:t>
      </w:r>
      <w:r w:rsidR="00652D98" w:rsidRPr="00124B1D">
        <w:rPr>
          <w:i/>
          <w:color w:val="000000"/>
          <w:sz w:val="28"/>
          <w:szCs w:val="28"/>
        </w:rPr>
        <w:t>1 січня 2022 року</w:t>
      </w:r>
      <w:r w:rsidR="00652D98" w:rsidRPr="00FB6CC7">
        <w:rPr>
          <w:color w:val="000000"/>
          <w:sz w:val="28"/>
          <w:szCs w:val="28"/>
        </w:rPr>
        <w:t>,</w:t>
      </w:r>
      <w:r w:rsidR="00652D98">
        <w:rPr>
          <w:color w:val="000000"/>
          <w:sz w:val="28"/>
          <w:szCs w:val="28"/>
        </w:rPr>
        <w:t xml:space="preserve"> встановленого нов</w:t>
      </w:r>
      <w:r w:rsidR="006E1B1F">
        <w:rPr>
          <w:color w:val="000000"/>
          <w:sz w:val="28"/>
          <w:szCs w:val="28"/>
        </w:rPr>
        <w:t>им</w:t>
      </w:r>
      <w:r w:rsidR="00652D98">
        <w:rPr>
          <w:color w:val="000000"/>
          <w:sz w:val="28"/>
          <w:szCs w:val="28"/>
        </w:rPr>
        <w:t xml:space="preserve"> п. 76 п</w:t>
      </w:r>
      <w:r w:rsidR="00652D98" w:rsidRPr="00124B1D">
        <w:rPr>
          <w:color w:val="000000"/>
          <w:sz w:val="28"/>
          <w:szCs w:val="28"/>
        </w:rPr>
        <w:t>ідрозділ</w:t>
      </w:r>
      <w:r w:rsidR="00652D98">
        <w:rPr>
          <w:color w:val="000000"/>
          <w:sz w:val="28"/>
          <w:szCs w:val="28"/>
        </w:rPr>
        <w:t>у </w:t>
      </w:r>
      <w:r w:rsidR="00652D98" w:rsidRPr="00124B1D">
        <w:rPr>
          <w:color w:val="000000"/>
          <w:sz w:val="28"/>
          <w:szCs w:val="28"/>
        </w:rPr>
        <w:t>2</w:t>
      </w:r>
      <w:r w:rsidR="00652D98">
        <w:rPr>
          <w:color w:val="000000"/>
          <w:sz w:val="28"/>
          <w:szCs w:val="28"/>
        </w:rPr>
        <w:t xml:space="preserve"> розділу </w:t>
      </w:r>
      <w:r w:rsidR="00652D98">
        <w:rPr>
          <w:color w:val="000000"/>
          <w:sz w:val="28"/>
          <w:szCs w:val="28"/>
          <w:lang w:val="en-US"/>
        </w:rPr>
        <w:t>XX</w:t>
      </w:r>
      <w:r w:rsidR="00652D98">
        <w:rPr>
          <w:color w:val="000000"/>
          <w:sz w:val="28"/>
          <w:szCs w:val="28"/>
        </w:rPr>
        <w:t xml:space="preserve"> ПК, зважаючи, зокрема, на те, що вказане питання, по суті, врегульоване в </w:t>
      </w:r>
      <w:r w:rsidR="00652D98" w:rsidRPr="00FB6CC7">
        <w:rPr>
          <w:color w:val="000000"/>
          <w:sz w:val="28"/>
          <w:szCs w:val="28"/>
        </w:rPr>
        <w:t>оновлено</w:t>
      </w:r>
      <w:r w:rsidR="00652D98">
        <w:rPr>
          <w:color w:val="000000"/>
          <w:sz w:val="28"/>
          <w:szCs w:val="28"/>
        </w:rPr>
        <w:t>му</w:t>
      </w:r>
      <w:r w:rsidR="00652D98" w:rsidRPr="00FB6CC7">
        <w:rPr>
          <w:color w:val="000000"/>
          <w:sz w:val="28"/>
          <w:szCs w:val="28"/>
        </w:rPr>
        <w:t xml:space="preserve"> п. 189.9 ст. 189 ПК</w:t>
      </w:r>
      <w:r w:rsidR="00652D98">
        <w:rPr>
          <w:color w:val="000000"/>
          <w:sz w:val="28"/>
          <w:szCs w:val="28"/>
        </w:rPr>
        <w:t>.</w:t>
      </w:r>
    </w:p>
    <w:p w:rsidR="00124B1D" w:rsidRDefault="00124B1D" w:rsidP="006E1B1F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Також, </w:t>
      </w:r>
      <w:r w:rsidR="006E1B1F">
        <w:rPr>
          <w:color w:val="000000"/>
          <w:sz w:val="28"/>
          <w:szCs w:val="28"/>
        </w:rPr>
        <w:t>припис в</w:t>
      </w:r>
      <w:r>
        <w:rPr>
          <w:color w:val="000000"/>
          <w:sz w:val="28"/>
          <w:szCs w:val="28"/>
        </w:rPr>
        <w:t>казан</w:t>
      </w:r>
      <w:r w:rsidR="006E1B1F">
        <w:rPr>
          <w:color w:val="000000"/>
          <w:sz w:val="28"/>
          <w:szCs w:val="28"/>
        </w:rPr>
        <w:t xml:space="preserve">ого </w:t>
      </w:r>
      <w:r w:rsidR="00FB6CC7" w:rsidRPr="00FB6CC7">
        <w:rPr>
          <w:color w:val="000000"/>
          <w:sz w:val="28"/>
          <w:szCs w:val="28"/>
        </w:rPr>
        <w:t>п.</w:t>
      </w:r>
      <w:r w:rsidR="00FB6CC7">
        <w:rPr>
          <w:color w:val="000000"/>
          <w:sz w:val="28"/>
          <w:szCs w:val="28"/>
        </w:rPr>
        <w:t> </w:t>
      </w:r>
      <w:r w:rsidR="00FB6CC7" w:rsidRPr="00FB6CC7">
        <w:rPr>
          <w:color w:val="000000"/>
          <w:sz w:val="28"/>
          <w:szCs w:val="28"/>
        </w:rPr>
        <w:t xml:space="preserve">76 </w:t>
      </w:r>
      <w:r>
        <w:rPr>
          <w:color w:val="000000"/>
          <w:sz w:val="28"/>
          <w:szCs w:val="28"/>
        </w:rPr>
        <w:t xml:space="preserve">не відповідає принципу </w:t>
      </w:r>
      <w:r w:rsidR="006E1B1F">
        <w:rPr>
          <w:color w:val="000000"/>
          <w:sz w:val="28"/>
          <w:szCs w:val="28"/>
        </w:rPr>
        <w:t xml:space="preserve">юридичної визначеності </w:t>
      </w:r>
      <w:r>
        <w:rPr>
          <w:color w:val="000000"/>
          <w:sz w:val="28"/>
          <w:szCs w:val="28"/>
        </w:rPr>
        <w:t xml:space="preserve">правової </w:t>
      </w:r>
      <w:r w:rsidR="006E1B1F">
        <w:rPr>
          <w:color w:val="000000"/>
          <w:sz w:val="28"/>
          <w:szCs w:val="28"/>
        </w:rPr>
        <w:t>норми</w:t>
      </w:r>
      <w:r>
        <w:rPr>
          <w:color w:val="000000"/>
          <w:sz w:val="28"/>
          <w:szCs w:val="28"/>
        </w:rPr>
        <w:t xml:space="preserve">, оскільки не конкретизовано, про яку  </w:t>
      </w:r>
      <w:r w:rsidRPr="00124B1D">
        <w:rPr>
          <w:color w:val="000000"/>
          <w:sz w:val="28"/>
          <w:szCs w:val="28"/>
        </w:rPr>
        <w:t>податков</w:t>
      </w:r>
      <w:r>
        <w:rPr>
          <w:color w:val="000000"/>
          <w:sz w:val="28"/>
          <w:szCs w:val="28"/>
        </w:rPr>
        <w:t>у</w:t>
      </w:r>
      <w:r w:rsidRPr="00124B1D">
        <w:rPr>
          <w:color w:val="000000"/>
          <w:sz w:val="28"/>
          <w:szCs w:val="28"/>
        </w:rPr>
        <w:t xml:space="preserve"> деклараці</w:t>
      </w:r>
      <w:r>
        <w:rPr>
          <w:color w:val="000000"/>
          <w:sz w:val="28"/>
          <w:szCs w:val="28"/>
        </w:rPr>
        <w:t>ю йде мова.</w:t>
      </w:r>
    </w:p>
    <w:p w:rsidR="00CB6F6A" w:rsidRDefault="00044E5A" w:rsidP="00044E5A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044E5A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="00CB6F6A" w:rsidRPr="00CB6F6A">
        <w:rPr>
          <w:color w:val="000000"/>
          <w:sz w:val="28"/>
          <w:szCs w:val="28"/>
        </w:rPr>
        <w:t>В</w:t>
      </w:r>
      <w:r w:rsidR="003F1BE0">
        <w:rPr>
          <w:color w:val="000000"/>
          <w:sz w:val="28"/>
          <w:szCs w:val="28"/>
        </w:rPr>
        <w:t xml:space="preserve"> </w:t>
      </w:r>
      <w:r w:rsidR="00CB6F6A" w:rsidRPr="00CB6F6A">
        <w:rPr>
          <w:color w:val="000000"/>
          <w:sz w:val="28"/>
          <w:szCs w:val="28"/>
        </w:rPr>
        <w:t>оновлено</w:t>
      </w:r>
      <w:r w:rsidR="003F1BE0">
        <w:rPr>
          <w:color w:val="000000"/>
          <w:sz w:val="28"/>
          <w:szCs w:val="28"/>
        </w:rPr>
        <w:t xml:space="preserve">му </w:t>
      </w:r>
      <w:proofErr w:type="spellStart"/>
      <w:r w:rsidR="00CB6F6A" w:rsidRPr="00CB6F6A">
        <w:rPr>
          <w:color w:val="000000"/>
          <w:sz w:val="28"/>
          <w:szCs w:val="28"/>
        </w:rPr>
        <w:t>абз</w:t>
      </w:r>
      <w:proofErr w:type="spellEnd"/>
      <w:r w:rsidR="00CB6F6A">
        <w:rPr>
          <w:color w:val="000000"/>
          <w:sz w:val="28"/>
          <w:szCs w:val="28"/>
        </w:rPr>
        <w:t>. 3</w:t>
      </w:r>
      <w:r w:rsidR="003F1BE0">
        <w:rPr>
          <w:color w:val="000000"/>
          <w:sz w:val="28"/>
          <w:szCs w:val="28"/>
        </w:rPr>
        <w:t xml:space="preserve"> </w:t>
      </w:r>
      <w:r w:rsidR="00CB6F6A">
        <w:rPr>
          <w:color w:val="000000"/>
          <w:sz w:val="28"/>
          <w:szCs w:val="28"/>
        </w:rPr>
        <w:t>ч. 23</w:t>
      </w:r>
      <w:r w:rsidR="00CB6F6A" w:rsidRPr="00CB6F6A">
        <w:rPr>
          <w:color w:val="000000"/>
          <w:sz w:val="28"/>
          <w:szCs w:val="28"/>
        </w:rPr>
        <w:t xml:space="preserve"> ст</w:t>
      </w:r>
      <w:r w:rsidR="00CB6F6A">
        <w:rPr>
          <w:color w:val="000000"/>
          <w:sz w:val="28"/>
          <w:szCs w:val="28"/>
        </w:rPr>
        <w:t>. </w:t>
      </w:r>
      <w:r w:rsidR="00CB6F6A" w:rsidRPr="00CB6F6A">
        <w:rPr>
          <w:color w:val="000000"/>
          <w:sz w:val="28"/>
          <w:szCs w:val="28"/>
        </w:rPr>
        <w:t>18 Закону України «Про державне регулювання виробництва і обігу спирту етилового, коньячного і плодового,</w:t>
      </w:r>
      <w:r w:rsidR="00C31F84">
        <w:rPr>
          <w:color w:val="000000"/>
          <w:sz w:val="28"/>
          <w:szCs w:val="28"/>
        </w:rPr>
        <w:t xml:space="preserve"> </w:t>
      </w:r>
      <w:r w:rsidR="00CB6F6A" w:rsidRPr="00CB6F6A">
        <w:rPr>
          <w:color w:val="000000"/>
          <w:sz w:val="28"/>
          <w:szCs w:val="28"/>
        </w:rPr>
        <w:t>алкогольних напоїв, тютюнових виробів, рідин, що використовуються в електронних сигаретах, та пального»</w:t>
      </w:r>
      <w:r w:rsidR="00CB6F6A">
        <w:rPr>
          <w:color w:val="000000"/>
          <w:sz w:val="28"/>
          <w:szCs w:val="28"/>
        </w:rPr>
        <w:t xml:space="preserve"> пропонується </w:t>
      </w:r>
      <w:r w:rsidR="00D92713">
        <w:rPr>
          <w:color w:val="000000"/>
          <w:sz w:val="28"/>
          <w:szCs w:val="28"/>
        </w:rPr>
        <w:t>т</w:t>
      </w:r>
      <w:r w:rsidR="00D92713" w:rsidRPr="00D92713">
        <w:rPr>
          <w:color w:val="000000"/>
          <w:sz w:val="28"/>
          <w:szCs w:val="28"/>
        </w:rPr>
        <w:t>имчасово встановити, що положення ст</w:t>
      </w:r>
      <w:r w:rsidR="00BF3F8F">
        <w:rPr>
          <w:color w:val="000000"/>
          <w:sz w:val="28"/>
          <w:szCs w:val="28"/>
        </w:rPr>
        <w:t>. </w:t>
      </w:r>
      <w:r w:rsidR="00D92713" w:rsidRPr="00D92713">
        <w:rPr>
          <w:color w:val="000000"/>
          <w:sz w:val="28"/>
          <w:szCs w:val="28"/>
        </w:rPr>
        <w:t>7</w:t>
      </w:r>
      <w:r w:rsidR="00D92713" w:rsidRPr="00D92713">
        <w:rPr>
          <w:color w:val="000000"/>
          <w:sz w:val="28"/>
          <w:szCs w:val="28"/>
          <w:vertAlign w:val="superscript"/>
        </w:rPr>
        <w:t>1</w:t>
      </w:r>
      <w:r w:rsidR="00D92713" w:rsidRPr="00D92713">
        <w:rPr>
          <w:color w:val="000000"/>
          <w:sz w:val="28"/>
          <w:szCs w:val="28"/>
        </w:rPr>
        <w:t xml:space="preserve"> цього Зак</w:t>
      </w:r>
      <w:r w:rsidR="00D92713" w:rsidRPr="003F1BE0">
        <w:rPr>
          <w:color w:val="000000"/>
          <w:sz w:val="28"/>
          <w:szCs w:val="28"/>
        </w:rPr>
        <w:t>ону</w:t>
      </w:r>
      <w:r w:rsidR="003F1BE0" w:rsidRPr="003F1BE0">
        <w:rPr>
          <w:color w:val="000000"/>
          <w:sz w:val="28"/>
          <w:szCs w:val="28"/>
        </w:rPr>
        <w:t>,</w:t>
      </w:r>
      <w:r w:rsidR="003F1BE0">
        <w:rPr>
          <w:color w:val="000000"/>
          <w:sz w:val="28"/>
          <w:szCs w:val="28"/>
        </w:rPr>
        <w:t xml:space="preserve"> якою в</w:t>
      </w:r>
      <w:r w:rsidR="00C31F84">
        <w:rPr>
          <w:color w:val="000000"/>
          <w:sz w:val="28"/>
          <w:szCs w:val="28"/>
        </w:rPr>
        <w:t xml:space="preserve">изначаються </w:t>
      </w:r>
      <w:r w:rsidR="003F1BE0">
        <w:rPr>
          <w:color w:val="000000"/>
          <w:sz w:val="28"/>
          <w:szCs w:val="28"/>
        </w:rPr>
        <w:t>о</w:t>
      </w:r>
      <w:r w:rsidR="003F1BE0" w:rsidRPr="003F1BE0">
        <w:rPr>
          <w:rStyle w:val="rvts0"/>
          <w:sz w:val="28"/>
          <w:szCs w:val="28"/>
        </w:rPr>
        <w:t xml:space="preserve">собливості відпуску та отримання спирту етилового для виробництва продукції хімічного і технічного призначення, </w:t>
      </w:r>
      <w:proofErr w:type="spellStart"/>
      <w:r w:rsidR="003F1BE0" w:rsidRPr="003F1BE0">
        <w:rPr>
          <w:rStyle w:val="rvts0"/>
          <w:sz w:val="28"/>
          <w:szCs w:val="28"/>
        </w:rPr>
        <w:t>парфумерно</w:t>
      </w:r>
      <w:proofErr w:type="spellEnd"/>
      <w:r w:rsidR="003F1BE0" w:rsidRPr="003F1BE0">
        <w:rPr>
          <w:rStyle w:val="rvts0"/>
          <w:sz w:val="28"/>
          <w:szCs w:val="28"/>
        </w:rPr>
        <w:t>-косметичної продукції, оцту з харчової сировини</w:t>
      </w:r>
      <w:r w:rsidR="003F1BE0">
        <w:rPr>
          <w:rStyle w:val="rvts0"/>
          <w:sz w:val="28"/>
          <w:szCs w:val="28"/>
        </w:rPr>
        <w:t xml:space="preserve">, </w:t>
      </w:r>
      <w:r w:rsidR="00D92713" w:rsidRPr="00D92713">
        <w:rPr>
          <w:color w:val="000000"/>
          <w:sz w:val="28"/>
          <w:szCs w:val="28"/>
        </w:rPr>
        <w:t>не застосовуються для виробників лікарських засобів, що здійснюють виробництво дезінфекційних засобів з використанням спирту етилового, акцизний податок з якого справляється за ставкою 0 гривень за 1 літр 100-відсоткового спирту</w:t>
      </w:r>
      <w:r w:rsidR="003F1BE0">
        <w:rPr>
          <w:color w:val="000000"/>
          <w:sz w:val="28"/>
          <w:szCs w:val="28"/>
        </w:rPr>
        <w:t xml:space="preserve">, </w:t>
      </w:r>
      <w:r w:rsidR="00D92713" w:rsidRPr="00010C6F">
        <w:rPr>
          <w:color w:val="000000"/>
          <w:sz w:val="28"/>
          <w:szCs w:val="28"/>
        </w:rPr>
        <w:t xml:space="preserve">«по останній календарний день місяця (включно), в якому завершується дія карантину, встановленого Кабінетом Міністрів України на всій території України з метою запобігання поширенню на території України </w:t>
      </w:r>
      <w:proofErr w:type="spellStart"/>
      <w:r w:rsidR="00D92713" w:rsidRPr="00010C6F">
        <w:rPr>
          <w:color w:val="000000"/>
          <w:sz w:val="28"/>
          <w:szCs w:val="28"/>
        </w:rPr>
        <w:t>коронавірусної</w:t>
      </w:r>
      <w:proofErr w:type="spellEnd"/>
      <w:r w:rsidR="00D92713" w:rsidRPr="00010C6F">
        <w:rPr>
          <w:color w:val="000000"/>
          <w:sz w:val="28"/>
          <w:szCs w:val="28"/>
        </w:rPr>
        <w:t xml:space="preserve"> хвороби (COVID-19)»</w:t>
      </w:r>
      <w:r w:rsidR="003F1BE0">
        <w:rPr>
          <w:color w:val="000000"/>
          <w:sz w:val="28"/>
          <w:szCs w:val="28"/>
        </w:rPr>
        <w:t xml:space="preserve"> (за чинною нормою – до 31 травня 2020 року)</w:t>
      </w:r>
      <w:r w:rsidR="00D92713" w:rsidRPr="00010C6F">
        <w:rPr>
          <w:color w:val="000000"/>
          <w:sz w:val="28"/>
          <w:szCs w:val="28"/>
        </w:rPr>
        <w:t xml:space="preserve">. </w:t>
      </w:r>
    </w:p>
    <w:p w:rsidR="002F7977" w:rsidRDefault="00C31F84" w:rsidP="00C31F84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F3F8F">
        <w:rPr>
          <w:color w:val="000000"/>
          <w:sz w:val="28"/>
          <w:szCs w:val="28"/>
        </w:rPr>
        <w:t>лід зауважити</w:t>
      </w:r>
      <w:r w:rsidR="00D92713">
        <w:rPr>
          <w:color w:val="000000"/>
          <w:sz w:val="28"/>
          <w:szCs w:val="28"/>
        </w:rPr>
        <w:t>, що</w:t>
      </w:r>
      <w:r w:rsidR="00BF3F8F">
        <w:rPr>
          <w:color w:val="000000"/>
          <w:sz w:val="28"/>
          <w:szCs w:val="28"/>
        </w:rPr>
        <w:t xml:space="preserve">, по-перше, у супровідних до проекту </w:t>
      </w:r>
      <w:r w:rsidR="00823D0F">
        <w:rPr>
          <w:color w:val="000000"/>
          <w:sz w:val="28"/>
          <w:szCs w:val="28"/>
        </w:rPr>
        <w:t xml:space="preserve">документах </w:t>
      </w:r>
      <w:r w:rsidR="00BF3F8F">
        <w:rPr>
          <w:color w:val="000000"/>
          <w:sz w:val="28"/>
          <w:szCs w:val="28"/>
        </w:rPr>
        <w:t xml:space="preserve">відсутнє обґрунтування запровадження </w:t>
      </w:r>
      <w:r w:rsidR="00823D0F">
        <w:rPr>
          <w:color w:val="000000"/>
          <w:sz w:val="28"/>
          <w:szCs w:val="28"/>
        </w:rPr>
        <w:t xml:space="preserve">відповідних </w:t>
      </w:r>
      <w:r w:rsidR="00BF3F8F">
        <w:rPr>
          <w:color w:val="000000"/>
          <w:sz w:val="28"/>
          <w:szCs w:val="28"/>
        </w:rPr>
        <w:t xml:space="preserve">преференцій для вказаних виробників, </w:t>
      </w:r>
      <w:r w:rsidR="002F7977" w:rsidRPr="002F7977">
        <w:rPr>
          <w:color w:val="000000"/>
          <w:sz w:val="28"/>
          <w:szCs w:val="28"/>
        </w:rPr>
        <w:t xml:space="preserve"> </w:t>
      </w:r>
      <w:r w:rsidR="00823D0F">
        <w:rPr>
          <w:color w:val="000000"/>
          <w:sz w:val="28"/>
          <w:szCs w:val="28"/>
        </w:rPr>
        <w:t xml:space="preserve">у </w:t>
      </w:r>
      <w:r w:rsidR="002F7977" w:rsidRPr="002F7977">
        <w:rPr>
          <w:color w:val="000000"/>
          <w:sz w:val="28"/>
          <w:szCs w:val="28"/>
        </w:rPr>
        <w:t xml:space="preserve"> </w:t>
      </w:r>
      <w:r w:rsidR="00823D0F">
        <w:rPr>
          <w:color w:val="000000"/>
          <w:sz w:val="28"/>
          <w:szCs w:val="28"/>
        </w:rPr>
        <w:t>тому числі, у контексті ризику з</w:t>
      </w:r>
      <w:r w:rsidR="00BF3F8F">
        <w:rPr>
          <w:color w:val="000000"/>
          <w:sz w:val="28"/>
          <w:szCs w:val="28"/>
        </w:rPr>
        <w:t xml:space="preserve">більшення тіньового обігу спирту. </w:t>
      </w:r>
    </w:p>
    <w:p w:rsidR="002D0B3A" w:rsidRDefault="002D0B3A" w:rsidP="002F7977">
      <w:pPr>
        <w:tabs>
          <w:tab w:val="left" w:pos="993"/>
          <w:tab w:val="left" w:pos="1276"/>
        </w:tabs>
        <w:jc w:val="both"/>
        <w:rPr>
          <w:color w:val="000000"/>
          <w:sz w:val="28"/>
          <w:szCs w:val="28"/>
        </w:rPr>
      </w:pPr>
    </w:p>
    <w:p w:rsidR="002D0B3A" w:rsidRDefault="002D0B3A" w:rsidP="002F7977">
      <w:pPr>
        <w:tabs>
          <w:tab w:val="left" w:pos="993"/>
          <w:tab w:val="left" w:pos="1276"/>
        </w:tabs>
        <w:jc w:val="both"/>
        <w:rPr>
          <w:color w:val="000000"/>
          <w:sz w:val="28"/>
          <w:szCs w:val="28"/>
        </w:rPr>
      </w:pPr>
    </w:p>
    <w:p w:rsidR="00D92713" w:rsidRDefault="00BF3F8F" w:rsidP="002F7977">
      <w:pPr>
        <w:tabs>
          <w:tab w:val="left" w:pos="993"/>
          <w:tab w:val="left" w:pos="1276"/>
        </w:tabs>
        <w:jc w:val="both"/>
        <w:rPr>
          <w:color w:val="000000"/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t>По-друге, враховуючи, що норма</w:t>
      </w:r>
      <w:r w:rsidR="00BF2CF1">
        <w:rPr>
          <w:color w:val="000000"/>
          <w:sz w:val="28"/>
          <w:szCs w:val="28"/>
        </w:rPr>
        <w:t xml:space="preserve">, до якої пропонуються зміни, </w:t>
      </w:r>
      <w:r>
        <w:rPr>
          <w:color w:val="000000"/>
          <w:sz w:val="28"/>
          <w:szCs w:val="28"/>
        </w:rPr>
        <w:t xml:space="preserve">діяла </w:t>
      </w:r>
      <w:r w:rsidR="002F7977" w:rsidRPr="002F7977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до </w:t>
      </w:r>
      <w:r w:rsidR="00D92713" w:rsidRPr="00D92713">
        <w:rPr>
          <w:color w:val="000000"/>
          <w:sz w:val="28"/>
          <w:szCs w:val="28"/>
        </w:rPr>
        <w:t>31 травня 2020 року</w:t>
      </w:r>
      <w:r>
        <w:rPr>
          <w:color w:val="000000"/>
          <w:sz w:val="28"/>
          <w:szCs w:val="28"/>
        </w:rPr>
        <w:t xml:space="preserve">, </w:t>
      </w:r>
      <w:r w:rsidR="00D92713">
        <w:rPr>
          <w:color w:val="000000"/>
          <w:sz w:val="28"/>
          <w:szCs w:val="28"/>
        </w:rPr>
        <w:t xml:space="preserve">внесення </w:t>
      </w:r>
      <w:r w:rsidR="00BF2CF1">
        <w:rPr>
          <w:color w:val="000000"/>
          <w:sz w:val="28"/>
          <w:szCs w:val="28"/>
        </w:rPr>
        <w:t xml:space="preserve">відповідних </w:t>
      </w:r>
      <w:r w:rsidR="00D92713">
        <w:rPr>
          <w:color w:val="000000"/>
          <w:sz w:val="28"/>
          <w:szCs w:val="28"/>
        </w:rPr>
        <w:t xml:space="preserve">змін </w:t>
      </w:r>
      <w:r w:rsidR="00BF2CF1">
        <w:rPr>
          <w:color w:val="000000"/>
          <w:sz w:val="28"/>
          <w:szCs w:val="28"/>
        </w:rPr>
        <w:t xml:space="preserve">у пропонованому вигляді </w:t>
      </w:r>
      <w:r w:rsidR="00D92713">
        <w:rPr>
          <w:color w:val="000000"/>
          <w:sz w:val="28"/>
          <w:szCs w:val="28"/>
        </w:rPr>
        <w:t xml:space="preserve">може мати ознаки </w:t>
      </w:r>
      <w:r>
        <w:rPr>
          <w:color w:val="000000"/>
          <w:sz w:val="28"/>
          <w:szCs w:val="28"/>
        </w:rPr>
        <w:t>наданн</w:t>
      </w:r>
      <w:r w:rsidR="00BF2CF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їй </w:t>
      </w:r>
      <w:r w:rsidR="00BF2CF1">
        <w:rPr>
          <w:color w:val="000000"/>
          <w:sz w:val="28"/>
          <w:szCs w:val="28"/>
        </w:rPr>
        <w:t>зворотн</w:t>
      </w:r>
      <w:r w:rsidR="00D92713">
        <w:rPr>
          <w:color w:val="000000"/>
          <w:sz w:val="28"/>
          <w:szCs w:val="28"/>
        </w:rPr>
        <w:t>ої дії, що виглядає дискусійним, зокрема, в аспекті</w:t>
      </w:r>
      <w:r>
        <w:rPr>
          <w:color w:val="000000"/>
          <w:sz w:val="28"/>
          <w:szCs w:val="28"/>
        </w:rPr>
        <w:t xml:space="preserve"> можливого </w:t>
      </w:r>
      <w:r w:rsidR="00D92713">
        <w:rPr>
          <w:color w:val="000000"/>
          <w:sz w:val="28"/>
          <w:szCs w:val="28"/>
        </w:rPr>
        <w:t xml:space="preserve">звільнення від відповідальності за порушення </w:t>
      </w:r>
      <w:r>
        <w:rPr>
          <w:color w:val="000000"/>
          <w:sz w:val="28"/>
          <w:szCs w:val="28"/>
        </w:rPr>
        <w:t>приписів ст. </w:t>
      </w:r>
      <w:r w:rsidRPr="00BF3F8F">
        <w:rPr>
          <w:color w:val="000000"/>
          <w:sz w:val="28"/>
          <w:szCs w:val="28"/>
        </w:rPr>
        <w:t>7</w:t>
      </w:r>
      <w:r w:rsidRPr="00BF3F8F">
        <w:rPr>
          <w:color w:val="000000"/>
          <w:sz w:val="28"/>
          <w:szCs w:val="28"/>
          <w:vertAlign w:val="superscript"/>
        </w:rPr>
        <w:t>1</w:t>
      </w:r>
      <w:r w:rsidR="00BF2CF1"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вказаного</w:t>
      </w:r>
      <w:r w:rsidRPr="00BF3F8F">
        <w:rPr>
          <w:color w:val="000000"/>
          <w:sz w:val="28"/>
          <w:szCs w:val="28"/>
        </w:rPr>
        <w:t xml:space="preserve"> Закону</w:t>
      </w:r>
      <w:r>
        <w:rPr>
          <w:color w:val="000000"/>
          <w:sz w:val="28"/>
          <w:szCs w:val="28"/>
        </w:rPr>
        <w:t xml:space="preserve">.  </w:t>
      </w:r>
    </w:p>
    <w:p w:rsidR="00B047EE" w:rsidRDefault="00BF2CF1" w:rsidP="00BF2CF1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424640" w:rsidRPr="009F3C09">
        <w:rPr>
          <w:b/>
          <w:color w:val="000000"/>
          <w:sz w:val="28"/>
          <w:szCs w:val="28"/>
        </w:rPr>
        <w:t>.</w:t>
      </w:r>
      <w:r w:rsidR="00424640">
        <w:rPr>
          <w:color w:val="000000"/>
          <w:sz w:val="28"/>
          <w:szCs w:val="28"/>
        </w:rPr>
        <w:t xml:space="preserve"> Згідно з новим </w:t>
      </w:r>
      <w:proofErr w:type="spellStart"/>
      <w:r w:rsidR="00424640">
        <w:rPr>
          <w:color w:val="000000"/>
          <w:sz w:val="28"/>
          <w:szCs w:val="28"/>
        </w:rPr>
        <w:t>пп</w:t>
      </w:r>
      <w:proofErr w:type="spellEnd"/>
      <w:r w:rsidR="00424640">
        <w:rPr>
          <w:color w:val="000000"/>
          <w:sz w:val="28"/>
          <w:szCs w:val="28"/>
        </w:rPr>
        <w:t>. 4 п. </w:t>
      </w:r>
      <w:r w:rsidR="00424640" w:rsidRPr="00424640">
        <w:rPr>
          <w:color w:val="000000"/>
          <w:sz w:val="28"/>
          <w:szCs w:val="28"/>
        </w:rPr>
        <w:t xml:space="preserve">2 розділу ІІ  Закону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="00424640" w:rsidRPr="00424640">
        <w:rPr>
          <w:color w:val="000000"/>
          <w:sz w:val="28"/>
          <w:szCs w:val="28"/>
        </w:rPr>
        <w:t>коронавірусної</w:t>
      </w:r>
      <w:proofErr w:type="spellEnd"/>
      <w:r w:rsidR="00424640" w:rsidRPr="00424640">
        <w:rPr>
          <w:color w:val="000000"/>
          <w:sz w:val="28"/>
          <w:szCs w:val="28"/>
        </w:rPr>
        <w:t xml:space="preserve"> хвороби (COVID-19)»</w:t>
      </w:r>
      <w:r w:rsidR="00424640">
        <w:rPr>
          <w:color w:val="000000"/>
          <w:sz w:val="28"/>
          <w:szCs w:val="28"/>
        </w:rPr>
        <w:t xml:space="preserve"> пропонується поновити дію мораторію на </w:t>
      </w:r>
      <w:r w:rsidR="00424640" w:rsidRPr="00424640">
        <w:rPr>
          <w:color w:val="000000"/>
          <w:sz w:val="28"/>
          <w:szCs w:val="28"/>
        </w:rPr>
        <w:t>проведення органами державного нагляду (контролю) планових заходів із здійснення державного нагляду (контролю) у сфері господарської діяльності</w:t>
      </w:r>
      <w:r>
        <w:rPr>
          <w:color w:val="000000"/>
          <w:sz w:val="28"/>
          <w:szCs w:val="28"/>
        </w:rPr>
        <w:t xml:space="preserve"> </w:t>
      </w:r>
      <w:r w:rsidR="00424640" w:rsidRPr="00424640">
        <w:rPr>
          <w:color w:val="000000"/>
          <w:sz w:val="28"/>
          <w:szCs w:val="28"/>
        </w:rPr>
        <w:t xml:space="preserve">на період встановлення карантину або обмежувальних заходів, пов’язаних із поширенням </w:t>
      </w:r>
      <w:proofErr w:type="spellStart"/>
      <w:r w:rsidR="00424640" w:rsidRPr="00424640">
        <w:rPr>
          <w:color w:val="000000"/>
          <w:sz w:val="28"/>
          <w:szCs w:val="28"/>
        </w:rPr>
        <w:t>коронавірусної</w:t>
      </w:r>
      <w:proofErr w:type="spellEnd"/>
      <w:r w:rsidR="00424640" w:rsidRPr="00424640">
        <w:rPr>
          <w:color w:val="000000"/>
          <w:sz w:val="28"/>
          <w:szCs w:val="28"/>
        </w:rPr>
        <w:t xml:space="preserve"> хвороби (COVID-19)</w:t>
      </w:r>
      <w:r w:rsidR="00B047EE">
        <w:rPr>
          <w:color w:val="000000"/>
          <w:sz w:val="28"/>
          <w:szCs w:val="28"/>
        </w:rPr>
        <w:t xml:space="preserve">, який було скасовано </w:t>
      </w:r>
      <w:r w:rsidR="00B047EE" w:rsidRPr="00B047EE">
        <w:rPr>
          <w:color w:val="000000"/>
          <w:sz w:val="28"/>
          <w:szCs w:val="28"/>
        </w:rPr>
        <w:t>на підставі Закону № 1071-IX від 04.12.2020</w:t>
      </w:r>
      <w:r w:rsidR="00B047EE">
        <w:rPr>
          <w:color w:val="000000"/>
          <w:sz w:val="28"/>
          <w:szCs w:val="28"/>
        </w:rPr>
        <w:t>.</w:t>
      </w:r>
    </w:p>
    <w:p w:rsidR="009F3C09" w:rsidRDefault="00BF2CF1" w:rsidP="00BF2CF1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B047EE">
        <w:rPr>
          <w:color w:val="000000"/>
          <w:sz w:val="28"/>
          <w:szCs w:val="28"/>
        </w:rPr>
        <w:t xml:space="preserve"> цілому не виключаючи можливості встановлення певних </w:t>
      </w:r>
      <w:r w:rsidR="00B047EE" w:rsidRPr="00424640">
        <w:rPr>
          <w:color w:val="000000"/>
          <w:sz w:val="28"/>
          <w:szCs w:val="28"/>
        </w:rPr>
        <w:t>обмеж</w:t>
      </w:r>
      <w:r w:rsidR="009F3C09">
        <w:rPr>
          <w:color w:val="000000"/>
          <w:sz w:val="28"/>
          <w:szCs w:val="28"/>
        </w:rPr>
        <w:t>ень</w:t>
      </w:r>
      <w:r>
        <w:rPr>
          <w:color w:val="000000"/>
          <w:sz w:val="28"/>
          <w:szCs w:val="28"/>
        </w:rPr>
        <w:t xml:space="preserve"> </w:t>
      </w:r>
      <w:r w:rsidR="00B047EE">
        <w:rPr>
          <w:color w:val="000000"/>
          <w:sz w:val="28"/>
          <w:szCs w:val="28"/>
        </w:rPr>
        <w:t>щодо проведення</w:t>
      </w:r>
      <w:r>
        <w:rPr>
          <w:color w:val="000000"/>
          <w:sz w:val="28"/>
          <w:szCs w:val="28"/>
        </w:rPr>
        <w:t xml:space="preserve"> </w:t>
      </w:r>
      <w:r w:rsidR="009F3C09" w:rsidRPr="00424640">
        <w:rPr>
          <w:color w:val="000000"/>
          <w:sz w:val="28"/>
          <w:szCs w:val="28"/>
        </w:rPr>
        <w:t>у період дії карантину</w:t>
      </w:r>
      <w:r>
        <w:rPr>
          <w:color w:val="000000"/>
          <w:sz w:val="28"/>
          <w:szCs w:val="28"/>
        </w:rPr>
        <w:t xml:space="preserve"> </w:t>
      </w:r>
      <w:r w:rsidR="009F3C09">
        <w:rPr>
          <w:color w:val="000000"/>
          <w:sz w:val="28"/>
          <w:szCs w:val="28"/>
        </w:rPr>
        <w:t>заходів</w:t>
      </w:r>
      <w:r>
        <w:rPr>
          <w:color w:val="000000"/>
          <w:sz w:val="28"/>
          <w:szCs w:val="28"/>
        </w:rPr>
        <w:t xml:space="preserve"> </w:t>
      </w:r>
      <w:r w:rsidR="009F3C09" w:rsidRPr="009F3C09">
        <w:rPr>
          <w:color w:val="000000"/>
          <w:sz w:val="28"/>
          <w:szCs w:val="28"/>
        </w:rPr>
        <w:t>із здійснення державного нагляду (контролю)</w:t>
      </w:r>
      <w:r w:rsidR="009F3C09">
        <w:rPr>
          <w:color w:val="000000"/>
          <w:sz w:val="28"/>
          <w:szCs w:val="28"/>
        </w:rPr>
        <w:t>, зокрема,</w:t>
      </w:r>
      <w:r>
        <w:rPr>
          <w:color w:val="000000"/>
          <w:sz w:val="28"/>
          <w:szCs w:val="28"/>
        </w:rPr>
        <w:t xml:space="preserve"> у</w:t>
      </w:r>
      <w:r w:rsidR="009F3C09">
        <w:rPr>
          <w:color w:val="000000"/>
          <w:sz w:val="28"/>
          <w:szCs w:val="28"/>
        </w:rPr>
        <w:t xml:space="preserve"> частині, що стосується </w:t>
      </w:r>
      <w:r w:rsidR="009F3C09" w:rsidRPr="00424640">
        <w:rPr>
          <w:color w:val="000000"/>
          <w:sz w:val="28"/>
          <w:szCs w:val="28"/>
        </w:rPr>
        <w:t>суб’єкт</w:t>
      </w:r>
      <w:r w:rsidR="009F3C09">
        <w:rPr>
          <w:color w:val="000000"/>
          <w:sz w:val="28"/>
          <w:szCs w:val="28"/>
        </w:rPr>
        <w:t xml:space="preserve">ів </w:t>
      </w:r>
      <w:r w:rsidR="009F3C09" w:rsidRPr="00424640">
        <w:rPr>
          <w:color w:val="000000"/>
          <w:sz w:val="28"/>
          <w:szCs w:val="28"/>
        </w:rPr>
        <w:t>господарювання</w:t>
      </w:r>
      <w:r w:rsidR="009F3C09">
        <w:rPr>
          <w:color w:val="000000"/>
          <w:sz w:val="28"/>
          <w:szCs w:val="28"/>
        </w:rPr>
        <w:t>, яким</w:t>
      </w:r>
      <w:r w:rsidR="009F3C09" w:rsidRPr="00424640">
        <w:rPr>
          <w:color w:val="000000"/>
          <w:sz w:val="28"/>
          <w:szCs w:val="28"/>
        </w:rPr>
        <w:t xml:space="preserve"> заборонено займатися певними видами діяльност</w:t>
      </w:r>
      <w:r w:rsidR="009F3C09">
        <w:rPr>
          <w:color w:val="000000"/>
          <w:sz w:val="28"/>
          <w:szCs w:val="28"/>
        </w:rPr>
        <w:t xml:space="preserve">і, разом із тим, </w:t>
      </w:r>
      <w:r>
        <w:rPr>
          <w:color w:val="000000"/>
          <w:sz w:val="28"/>
          <w:szCs w:val="28"/>
        </w:rPr>
        <w:t xml:space="preserve">вважаємо, що </w:t>
      </w:r>
      <w:r w:rsidR="009F3C09">
        <w:rPr>
          <w:color w:val="000000"/>
          <w:sz w:val="28"/>
          <w:szCs w:val="28"/>
        </w:rPr>
        <w:t xml:space="preserve">встановлення загального мораторію, без будь-яких обмежень, не сприятиме забезпеченню ефективного державного контролю </w:t>
      </w:r>
      <w:r>
        <w:rPr>
          <w:color w:val="000000"/>
          <w:sz w:val="28"/>
          <w:szCs w:val="28"/>
        </w:rPr>
        <w:t>у</w:t>
      </w:r>
      <w:r w:rsidR="009F3C09">
        <w:rPr>
          <w:color w:val="000000"/>
          <w:sz w:val="28"/>
          <w:szCs w:val="28"/>
        </w:rPr>
        <w:t xml:space="preserve"> цій сфері.</w:t>
      </w:r>
    </w:p>
    <w:p w:rsidR="00424640" w:rsidRDefault="00BF2CF1" w:rsidP="00BF2CF1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BF2CF1"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На</w:t>
      </w:r>
      <w:r w:rsidR="009F3C09" w:rsidRPr="009F3C09">
        <w:rPr>
          <w:color w:val="000000"/>
          <w:sz w:val="28"/>
          <w:szCs w:val="28"/>
        </w:rPr>
        <w:t>зва</w:t>
      </w:r>
      <w:r>
        <w:rPr>
          <w:color w:val="000000"/>
          <w:sz w:val="28"/>
          <w:szCs w:val="28"/>
        </w:rPr>
        <w:t xml:space="preserve"> </w:t>
      </w:r>
      <w:r w:rsidR="009F3C09" w:rsidRPr="009F3C09">
        <w:rPr>
          <w:color w:val="000000"/>
          <w:sz w:val="28"/>
          <w:szCs w:val="28"/>
        </w:rPr>
        <w:t xml:space="preserve">проекту не </w:t>
      </w:r>
      <w:r>
        <w:rPr>
          <w:color w:val="000000"/>
          <w:sz w:val="28"/>
          <w:szCs w:val="28"/>
        </w:rPr>
        <w:t xml:space="preserve">повною мірою </w:t>
      </w:r>
      <w:r w:rsidR="009F3C09" w:rsidRPr="009F3C09">
        <w:rPr>
          <w:color w:val="000000"/>
          <w:sz w:val="28"/>
          <w:szCs w:val="28"/>
        </w:rPr>
        <w:t>відповідає його змісту</w:t>
      </w:r>
      <w:r>
        <w:rPr>
          <w:color w:val="000000"/>
          <w:sz w:val="28"/>
          <w:szCs w:val="28"/>
        </w:rPr>
        <w:t xml:space="preserve">. По-перше, у проекті пропонуються зміни не тільки до ПК, але й до інших законодавчих актів. По-друге, низка пропонованих у проекті змін стосуються не лише 2021 року, </w:t>
      </w:r>
      <w:r w:rsidR="00BB5B78" w:rsidRPr="00BB5B78">
        <w:rPr>
          <w:color w:val="000000"/>
          <w:sz w:val="28"/>
          <w:szCs w:val="28"/>
          <w:lang w:val="ru-RU"/>
        </w:rPr>
        <w:t xml:space="preserve">                         </w:t>
      </w:r>
      <w:r>
        <w:rPr>
          <w:color w:val="000000"/>
          <w:sz w:val="28"/>
          <w:szCs w:val="28"/>
        </w:rPr>
        <w:t xml:space="preserve">а </w:t>
      </w:r>
      <w:r w:rsidR="0070016E">
        <w:rPr>
          <w:color w:val="000000"/>
          <w:sz w:val="28"/>
          <w:szCs w:val="28"/>
        </w:rPr>
        <w:t xml:space="preserve">передбачаються </w:t>
      </w:r>
      <w:r>
        <w:rPr>
          <w:color w:val="000000"/>
          <w:sz w:val="28"/>
          <w:szCs w:val="28"/>
        </w:rPr>
        <w:t>як з</w:t>
      </w:r>
      <w:r w:rsidR="0070016E">
        <w:rPr>
          <w:color w:val="000000"/>
          <w:sz w:val="28"/>
          <w:szCs w:val="28"/>
        </w:rPr>
        <w:t xml:space="preserve">міни постійного характеру </w:t>
      </w:r>
      <w:r>
        <w:rPr>
          <w:color w:val="000000"/>
          <w:sz w:val="28"/>
          <w:szCs w:val="28"/>
        </w:rPr>
        <w:t>(зокрема, у частині</w:t>
      </w:r>
      <w:r w:rsidR="00BB5B78" w:rsidRPr="00BB5B78">
        <w:rPr>
          <w:color w:val="000000"/>
          <w:sz w:val="28"/>
          <w:szCs w:val="28"/>
          <w:lang w:val="ru-RU"/>
        </w:rPr>
        <w:t xml:space="preserve"> </w:t>
      </w:r>
      <w:r w:rsidR="0070016E" w:rsidRPr="0070016E">
        <w:rPr>
          <w:color w:val="000000"/>
          <w:sz w:val="28"/>
          <w:szCs w:val="28"/>
        </w:rPr>
        <w:t>оподаткування податком на додану вартість операцій</w:t>
      </w:r>
      <w:r>
        <w:rPr>
          <w:color w:val="000000"/>
          <w:sz w:val="28"/>
          <w:szCs w:val="28"/>
        </w:rPr>
        <w:t xml:space="preserve">), або ж прив’язані до терміну дії карантину, який не обмежується 2021 роком (зокрема, у частині змін до </w:t>
      </w:r>
      <w:r w:rsidRPr="00CB6F6A">
        <w:rPr>
          <w:color w:val="000000"/>
          <w:sz w:val="28"/>
          <w:szCs w:val="28"/>
        </w:rPr>
        <w:t>Закону України «Про державне регулювання виробництва і обігу спирту етилового, коньячного і плодового,</w:t>
      </w:r>
      <w:r>
        <w:rPr>
          <w:color w:val="000000"/>
          <w:sz w:val="28"/>
          <w:szCs w:val="28"/>
        </w:rPr>
        <w:t xml:space="preserve"> </w:t>
      </w:r>
      <w:r w:rsidRPr="00CB6F6A">
        <w:rPr>
          <w:color w:val="000000"/>
          <w:sz w:val="28"/>
          <w:szCs w:val="28"/>
        </w:rPr>
        <w:t>алкогольних напоїв, тютюнових виробів, рідин, що використовуються в електронних сигаретах, та пального»</w:t>
      </w:r>
      <w:r>
        <w:rPr>
          <w:color w:val="000000"/>
          <w:sz w:val="28"/>
          <w:szCs w:val="28"/>
        </w:rPr>
        <w:t>)</w:t>
      </w:r>
      <w:r w:rsidR="0070016E">
        <w:rPr>
          <w:color w:val="000000"/>
          <w:sz w:val="28"/>
          <w:szCs w:val="28"/>
        </w:rPr>
        <w:t xml:space="preserve">. </w:t>
      </w:r>
    </w:p>
    <w:p w:rsidR="00010C6F" w:rsidRDefault="00BF2CF1" w:rsidP="00BF2CF1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BF2CF1">
        <w:rPr>
          <w:b/>
          <w:color w:val="000000"/>
          <w:sz w:val="28"/>
          <w:szCs w:val="28"/>
        </w:rPr>
        <w:t>7</w:t>
      </w:r>
      <w:r w:rsidR="00010C6F" w:rsidRPr="00BF2CF1">
        <w:rPr>
          <w:b/>
          <w:color w:val="000000"/>
          <w:sz w:val="28"/>
          <w:szCs w:val="28"/>
        </w:rPr>
        <w:t>.</w:t>
      </w:r>
      <w:r w:rsidR="00010C6F">
        <w:rPr>
          <w:color w:val="000000"/>
          <w:sz w:val="28"/>
          <w:szCs w:val="28"/>
        </w:rPr>
        <w:t xml:space="preserve"> Реалізація положень проекту може призвести до зменшення надходжень  бюджету від податку на додану вартість. При цьому</w:t>
      </w:r>
      <w:r w:rsidR="00010C6F" w:rsidRPr="00010C6F">
        <w:rPr>
          <w:color w:val="000000"/>
          <w:sz w:val="28"/>
          <w:szCs w:val="28"/>
        </w:rPr>
        <w:t>, всупереч вимогам</w:t>
      </w:r>
      <w:r w:rsidR="00C16E65" w:rsidRPr="0057004A">
        <w:rPr>
          <w:color w:val="000000"/>
          <w:sz w:val="28"/>
          <w:szCs w:val="28"/>
        </w:rPr>
        <w:t xml:space="preserve">                              </w:t>
      </w:r>
      <w:r w:rsidR="00010C6F" w:rsidRPr="00010C6F">
        <w:rPr>
          <w:color w:val="000000"/>
          <w:sz w:val="28"/>
          <w:szCs w:val="28"/>
        </w:rPr>
        <w:t xml:space="preserve"> ст. 27 Бюджетного кодексу України та ст. 91 Регламенту Верховної Ради України, належного фінансово-економічного обґрунтування (включаючи відповідні розрахунки), а також пропозицій до законодавчих актів України щодо скорочення витрат та/або джерел додаткових надходжень бюджету для досягнення його збалансованості</w:t>
      </w:r>
      <w:r w:rsidR="00010C6F">
        <w:rPr>
          <w:color w:val="000000"/>
          <w:sz w:val="28"/>
          <w:szCs w:val="28"/>
        </w:rPr>
        <w:t xml:space="preserve"> до проекту не надано</w:t>
      </w:r>
      <w:r w:rsidR="00010C6F" w:rsidRPr="00010C6F">
        <w:rPr>
          <w:color w:val="000000"/>
          <w:sz w:val="28"/>
          <w:szCs w:val="28"/>
        </w:rPr>
        <w:t>.</w:t>
      </w:r>
    </w:p>
    <w:p w:rsidR="00010C6F" w:rsidRDefault="00DE6807" w:rsidP="00596AFC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010C6F" w:rsidRPr="0043484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010C6F" w:rsidRPr="00010C6F">
        <w:rPr>
          <w:color w:val="000000"/>
          <w:sz w:val="28"/>
          <w:szCs w:val="28"/>
        </w:rPr>
        <w:t>Пропозиці</w:t>
      </w:r>
      <w:r w:rsidR="00596AFC">
        <w:rPr>
          <w:color w:val="000000"/>
          <w:sz w:val="28"/>
          <w:szCs w:val="28"/>
        </w:rPr>
        <w:t>я</w:t>
      </w:r>
      <w:r w:rsidR="00010C6F" w:rsidRPr="00010C6F">
        <w:rPr>
          <w:color w:val="000000"/>
          <w:sz w:val="28"/>
          <w:szCs w:val="28"/>
        </w:rPr>
        <w:t xml:space="preserve"> п. 1 розділу II проекту щодо </w:t>
      </w:r>
      <w:r w:rsidR="00596AFC">
        <w:rPr>
          <w:color w:val="000000"/>
          <w:sz w:val="28"/>
          <w:szCs w:val="28"/>
        </w:rPr>
        <w:t xml:space="preserve">терміну </w:t>
      </w:r>
      <w:r w:rsidR="00010C6F" w:rsidRPr="00010C6F">
        <w:rPr>
          <w:color w:val="000000"/>
          <w:sz w:val="28"/>
          <w:szCs w:val="28"/>
        </w:rPr>
        <w:t xml:space="preserve">набрання чинності Законом, проект якого розглядається, </w:t>
      </w:r>
      <w:r w:rsidR="00596AFC">
        <w:rPr>
          <w:color w:val="000000"/>
          <w:sz w:val="28"/>
          <w:szCs w:val="28"/>
        </w:rPr>
        <w:t xml:space="preserve">– </w:t>
      </w:r>
      <w:r w:rsidR="00596AFC" w:rsidRPr="00AF3731">
        <w:rPr>
          <w:sz w:val="28"/>
          <w:szCs w:val="28"/>
        </w:rPr>
        <w:t>з дня, наступного за днем його опублікування</w:t>
      </w:r>
      <w:r w:rsidR="00596AFC">
        <w:rPr>
          <w:sz w:val="28"/>
          <w:szCs w:val="28"/>
        </w:rPr>
        <w:t xml:space="preserve">, – </w:t>
      </w:r>
      <w:r w:rsidR="00010C6F" w:rsidRPr="00010C6F">
        <w:rPr>
          <w:color w:val="000000"/>
          <w:sz w:val="28"/>
          <w:szCs w:val="28"/>
        </w:rPr>
        <w:t>не узгоджу</w:t>
      </w:r>
      <w:r w:rsidR="00596AFC">
        <w:rPr>
          <w:color w:val="000000"/>
          <w:sz w:val="28"/>
          <w:szCs w:val="28"/>
        </w:rPr>
        <w:t>є</w:t>
      </w:r>
      <w:r w:rsidR="00010C6F" w:rsidRPr="00010C6F">
        <w:rPr>
          <w:color w:val="000000"/>
          <w:sz w:val="28"/>
          <w:szCs w:val="28"/>
        </w:rPr>
        <w:t>ться з принципом стабільності податкового законодавства (</w:t>
      </w:r>
      <w:proofErr w:type="spellStart"/>
      <w:r w:rsidR="00010C6F" w:rsidRPr="00010C6F">
        <w:rPr>
          <w:color w:val="000000"/>
          <w:sz w:val="28"/>
          <w:szCs w:val="28"/>
        </w:rPr>
        <w:t>пп</w:t>
      </w:r>
      <w:proofErr w:type="spellEnd"/>
      <w:r w:rsidR="00010C6F" w:rsidRPr="00010C6F">
        <w:rPr>
          <w:color w:val="000000"/>
          <w:sz w:val="28"/>
          <w:szCs w:val="28"/>
        </w:rPr>
        <w:t>. 4.1.9 п. 4.1. ст. 4 ПК), згідно з яким зміни до будь-яких елементів податків та зборів не можуть вноситися пізніш як за шість місяців до початку нового бюджетного періоду, в якому будуть діяти нові правила та ставки</w:t>
      </w:r>
      <w:r w:rsidR="00010C6F">
        <w:rPr>
          <w:color w:val="000000"/>
          <w:sz w:val="28"/>
          <w:szCs w:val="28"/>
        </w:rPr>
        <w:t>, приписами ч. 3 ст. 27 Бюджетного кодексу України, відповідно до яких «</w:t>
      </w:r>
      <w:r w:rsidR="00596AFC">
        <w:rPr>
          <w:color w:val="000000"/>
          <w:sz w:val="28"/>
          <w:szCs w:val="28"/>
        </w:rPr>
        <w:t>з</w:t>
      </w:r>
      <w:r w:rsidR="00010C6F" w:rsidRPr="00010C6F">
        <w:rPr>
          <w:color w:val="000000"/>
          <w:sz w:val="28"/>
          <w:szCs w:val="28"/>
        </w:rPr>
        <w:t xml:space="preserve">акони України або їх окремі положення, які впливають на показники бюджету </w:t>
      </w:r>
      <w:r w:rsidR="00010C6F" w:rsidRPr="00010C6F">
        <w:rPr>
          <w:color w:val="000000"/>
          <w:sz w:val="28"/>
          <w:szCs w:val="28"/>
        </w:rPr>
        <w:lastRenderedPageBreak/>
        <w:t>(зменшують надходження бюджету та/або збільшують витрати бюджету) і приймаються</w:t>
      </w:r>
      <w:r w:rsidR="00596AFC">
        <w:rPr>
          <w:color w:val="000000"/>
          <w:sz w:val="28"/>
          <w:szCs w:val="28"/>
        </w:rPr>
        <w:t xml:space="preserve"> </w:t>
      </w:r>
      <w:r w:rsidR="00010C6F" w:rsidRPr="00010C6F">
        <w:rPr>
          <w:color w:val="000000"/>
          <w:sz w:val="28"/>
          <w:szCs w:val="28"/>
        </w:rPr>
        <w:t>не пізніше 15 липня року, що передує плановому, вводяться в дію не раніше початку планового бюджетного періоду</w:t>
      </w:r>
      <w:r w:rsidR="00010C6F">
        <w:rPr>
          <w:color w:val="000000"/>
          <w:sz w:val="28"/>
          <w:szCs w:val="28"/>
        </w:rPr>
        <w:t>».</w:t>
      </w:r>
    </w:p>
    <w:p w:rsidR="00010C6F" w:rsidRDefault="00596AFC" w:rsidP="00596AFC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010C6F" w:rsidRPr="0043484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010C6F" w:rsidRPr="00010C6F">
        <w:rPr>
          <w:color w:val="000000"/>
          <w:sz w:val="28"/>
          <w:szCs w:val="28"/>
        </w:rPr>
        <w:t>Виходячи з вимог ст. 116 Конституції України, згідно з якою Кабінет Міністрів України забезпечує проведення податкової політики, щодо внесеного законопроекту доцільно отримати висновок Уряду.</w:t>
      </w:r>
    </w:p>
    <w:p w:rsidR="00FF5797" w:rsidRDefault="00FF5797" w:rsidP="005700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169C6" w:rsidRPr="00A169C6" w:rsidRDefault="00A169C6" w:rsidP="005700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5797" w:rsidRDefault="003B0FFE" w:rsidP="0057004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Керівник Головного управління                                                С. </w:t>
      </w:r>
      <w:proofErr w:type="spellStart"/>
      <w:r>
        <w:rPr>
          <w:color w:val="000000"/>
          <w:sz w:val="28"/>
          <w:szCs w:val="28"/>
        </w:rPr>
        <w:t>Тихонюк</w:t>
      </w:r>
      <w:proofErr w:type="spellEnd"/>
    </w:p>
    <w:p w:rsidR="00FF5797" w:rsidRDefault="00FF5797">
      <w:pPr>
        <w:ind w:firstLine="720"/>
        <w:jc w:val="both"/>
        <w:rPr>
          <w:sz w:val="28"/>
          <w:szCs w:val="28"/>
        </w:rPr>
      </w:pPr>
    </w:p>
    <w:p w:rsidR="00A169C6" w:rsidRDefault="00A169C6">
      <w:pPr>
        <w:ind w:firstLine="720"/>
        <w:jc w:val="both"/>
        <w:rPr>
          <w:sz w:val="28"/>
          <w:szCs w:val="28"/>
        </w:rPr>
      </w:pPr>
    </w:p>
    <w:p w:rsidR="00FF5797" w:rsidRDefault="003B0FFE" w:rsidP="003167EB">
      <w:pPr>
        <w:ind w:firstLine="709"/>
        <w:jc w:val="both"/>
      </w:pPr>
      <w:proofErr w:type="spellStart"/>
      <w:r>
        <w:t>Вик</w:t>
      </w:r>
      <w:proofErr w:type="spellEnd"/>
      <w:r>
        <w:t>.:</w:t>
      </w:r>
      <w:r w:rsidR="00434847">
        <w:t xml:space="preserve"> Я. </w:t>
      </w:r>
      <w:r w:rsidR="00AE4A26">
        <w:t>Б</w:t>
      </w:r>
      <w:r w:rsidR="00434847">
        <w:t>ережний,</w:t>
      </w:r>
      <w:r w:rsidR="00596AFC">
        <w:t xml:space="preserve"> </w:t>
      </w:r>
      <w:r w:rsidR="003167EB">
        <w:t>І. </w:t>
      </w:r>
      <w:proofErr w:type="spellStart"/>
      <w:r w:rsidR="003167EB">
        <w:t>Крегул</w:t>
      </w:r>
      <w:proofErr w:type="spellEnd"/>
    </w:p>
    <w:sectPr w:rsidR="00FF5797" w:rsidSect="00366DF8">
      <w:headerReference w:type="default" r:id="rId8"/>
      <w:headerReference w:type="first" r:id="rId9"/>
      <w:pgSz w:w="11906" w:h="16838"/>
      <w:pgMar w:top="1418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FC" w:rsidRDefault="00C955FC">
      <w:r>
        <w:separator/>
      </w:r>
    </w:p>
  </w:endnote>
  <w:endnote w:type="continuationSeparator" w:id="0">
    <w:p w:rsidR="00C955FC" w:rsidRDefault="00C9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FC" w:rsidRDefault="00C955FC">
      <w:r>
        <w:separator/>
      </w:r>
    </w:p>
  </w:footnote>
  <w:footnote w:type="continuationSeparator" w:id="0">
    <w:p w:rsidR="00C955FC" w:rsidRDefault="00C9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97" w:rsidRDefault="003437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 w:rsidR="003B0FFE">
      <w:rPr>
        <w:color w:val="000000"/>
      </w:rPr>
      <w:instrText>PAGE</w:instrText>
    </w:r>
    <w:r>
      <w:rPr>
        <w:color w:val="000000"/>
      </w:rPr>
      <w:fldChar w:fldCharType="separate"/>
    </w:r>
    <w:r w:rsidR="002D0B3A">
      <w:rPr>
        <w:noProof/>
        <w:color w:val="000000"/>
      </w:rPr>
      <w:t>5</w:t>
    </w:r>
    <w:r>
      <w:rPr>
        <w:color w:val="000000"/>
      </w:rPr>
      <w:fldChar w:fldCharType="end"/>
    </w:r>
  </w:p>
  <w:p w:rsidR="00FF5797" w:rsidRDefault="00FF57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97" w:rsidRDefault="003B0FFE">
    <w:pPr>
      <w:jc w:val="right"/>
    </w:pPr>
    <w:r>
      <w:t xml:space="preserve">До реєстр. № </w:t>
    </w:r>
    <w:r w:rsidR="00434847" w:rsidRPr="00434847">
      <w:t>4571-2 від 20.01.2021</w:t>
    </w:r>
  </w:p>
  <w:p w:rsidR="00FF5797" w:rsidRDefault="003B0FFE">
    <w:pPr>
      <w:jc w:val="right"/>
    </w:pPr>
    <w:r>
      <w:t>Народні депутати України</w:t>
    </w:r>
  </w:p>
  <w:p w:rsidR="00FF5797" w:rsidRDefault="00010C6F" w:rsidP="00010C6F">
    <w:pPr>
      <w:jc w:val="right"/>
    </w:pPr>
    <w:r>
      <w:t>О. Ковальчук, О. </w:t>
    </w:r>
    <w:proofErr w:type="spellStart"/>
    <w:r>
      <w:t>Кулініч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57EB"/>
    <w:multiLevelType w:val="hybridMultilevel"/>
    <w:tmpl w:val="93E42340"/>
    <w:lvl w:ilvl="0" w:tplc="70D04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84254E"/>
    <w:multiLevelType w:val="hybridMultilevel"/>
    <w:tmpl w:val="4828A5AC"/>
    <w:lvl w:ilvl="0" w:tplc="515A4B7C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410396"/>
    <w:multiLevelType w:val="hybridMultilevel"/>
    <w:tmpl w:val="EF8436BE"/>
    <w:lvl w:ilvl="0" w:tplc="870C51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D820AA"/>
    <w:multiLevelType w:val="multilevel"/>
    <w:tmpl w:val="F6DCD7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97"/>
    <w:rsid w:val="00000369"/>
    <w:rsid w:val="00010C6F"/>
    <w:rsid w:val="00043A6C"/>
    <w:rsid w:val="00044E5A"/>
    <w:rsid w:val="00045D81"/>
    <w:rsid w:val="00055773"/>
    <w:rsid w:val="00073D70"/>
    <w:rsid w:val="00085AF0"/>
    <w:rsid w:val="000A481C"/>
    <w:rsid w:val="000A580F"/>
    <w:rsid w:val="000A7A0E"/>
    <w:rsid w:val="000C5938"/>
    <w:rsid w:val="000C683D"/>
    <w:rsid w:val="000D3BD1"/>
    <w:rsid w:val="000E7DF9"/>
    <w:rsid w:val="00124B1D"/>
    <w:rsid w:val="00124CCB"/>
    <w:rsid w:val="00144009"/>
    <w:rsid w:val="00145B07"/>
    <w:rsid w:val="00167033"/>
    <w:rsid w:val="001809D0"/>
    <w:rsid w:val="00193914"/>
    <w:rsid w:val="001B6A8F"/>
    <w:rsid w:val="00202620"/>
    <w:rsid w:val="00211AD6"/>
    <w:rsid w:val="002423AD"/>
    <w:rsid w:val="0024677C"/>
    <w:rsid w:val="00273BA9"/>
    <w:rsid w:val="00275B05"/>
    <w:rsid w:val="002C337B"/>
    <w:rsid w:val="002C5FF5"/>
    <w:rsid w:val="002D0B3A"/>
    <w:rsid w:val="002E0CE1"/>
    <w:rsid w:val="002F7977"/>
    <w:rsid w:val="003167EB"/>
    <w:rsid w:val="003168B3"/>
    <w:rsid w:val="00334FA3"/>
    <w:rsid w:val="003437EF"/>
    <w:rsid w:val="003476F3"/>
    <w:rsid w:val="00353E81"/>
    <w:rsid w:val="00366DF8"/>
    <w:rsid w:val="003837C4"/>
    <w:rsid w:val="003A0FB3"/>
    <w:rsid w:val="003B0FFE"/>
    <w:rsid w:val="003F1BE0"/>
    <w:rsid w:val="00424640"/>
    <w:rsid w:val="00434847"/>
    <w:rsid w:val="0044687D"/>
    <w:rsid w:val="004924A5"/>
    <w:rsid w:val="004A33E5"/>
    <w:rsid w:val="004A53D0"/>
    <w:rsid w:val="004B15E5"/>
    <w:rsid w:val="004D2840"/>
    <w:rsid w:val="004D65A6"/>
    <w:rsid w:val="00525AF9"/>
    <w:rsid w:val="005338B3"/>
    <w:rsid w:val="0057004A"/>
    <w:rsid w:val="005966F5"/>
    <w:rsid w:val="00596AFC"/>
    <w:rsid w:val="005B56DF"/>
    <w:rsid w:val="005E1B74"/>
    <w:rsid w:val="00634785"/>
    <w:rsid w:val="00642746"/>
    <w:rsid w:val="00652D98"/>
    <w:rsid w:val="00660082"/>
    <w:rsid w:val="0066209B"/>
    <w:rsid w:val="00663EC6"/>
    <w:rsid w:val="006842AB"/>
    <w:rsid w:val="006A1893"/>
    <w:rsid w:val="006E1B1F"/>
    <w:rsid w:val="0070016E"/>
    <w:rsid w:val="0071464D"/>
    <w:rsid w:val="007245BA"/>
    <w:rsid w:val="00744612"/>
    <w:rsid w:val="00745645"/>
    <w:rsid w:val="00781844"/>
    <w:rsid w:val="007B24C8"/>
    <w:rsid w:val="00804936"/>
    <w:rsid w:val="00810846"/>
    <w:rsid w:val="00821AA8"/>
    <w:rsid w:val="00822488"/>
    <w:rsid w:val="00823D0F"/>
    <w:rsid w:val="0083099F"/>
    <w:rsid w:val="00847531"/>
    <w:rsid w:val="00884F69"/>
    <w:rsid w:val="008C6948"/>
    <w:rsid w:val="008D7D51"/>
    <w:rsid w:val="008E2F86"/>
    <w:rsid w:val="0090130F"/>
    <w:rsid w:val="009056D3"/>
    <w:rsid w:val="009426E7"/>
    <w:rsid w:val="00960B92"/>
    <w:rsid w:val="009B59CB"/>
    <w:rsid w:val="009D4CDC"/>
    <w:rsid w:val="009E7B5E"/>
    <w:rsid w:val="009F3C09"/>
    <w:rsid w:val="00A169C6"/>
    <w:rsid w:val="00A24844"/>
    <w:rsid w:val="00A51D04"/>
    <w:rsid w:val="00A53173"/>
    <w:rsid w:val="00A6420C"/>
    <w:rsid w:val="00A75C5E"/>
    <w:rsid w:val="00A85258"/>
    <w:rsid w:val="00AA43AF"/>
    <w:rsid w:val="00AA4EFB"/>
    <w:rsid w:val="00AD1EB0"/>
    <w:rsid w:val="00AE4A26"/>
    <w:rsid w:val="00AF0F08"/>
    <w:rsid w:val="00B047EE"/>
    <w:rsid w:val="00B04E2A"/>
    <w:rsid w:val="00B32696"/>
    <w:rsid w:val="00B32C97"/>
    <w:rsid w:val="00B373A1"/>
    <w:rsid w:val="00B40FE8"/>
    <w:rsid w:val="00B47CC5"/>
    <w:rsid w:val="00B621FA"/>
    <w:rsid w:val="00B66BCC"/>
    <w:rsid w:val="00B7129D"/>
    <w:rsid w:val="00B81FBE"/>
    <w:rsid w:val="00B848A6"/>
    <w:rsid w:val="00B85103"/>
    <w:rsid w:val="00B973EC"/>
    <w:rsid w:val="00BB5B78"/>
    <w:rsid w:val="00BB68B6"/>
    <w:rsid w:val="00BD3182"/>
    <w:rsid w:val="00BF2CF1"/>
    <w:rsid w:val="00BF3F8F"/>
    <w:rsid w:val="00C16E65"/>
    <w:rsid w:val="00C21FC3"/>
    <w:rsid w:val="00C31F84"/>
    <w:rsid w:val="00C75102"/>
    <w:rsid w:val="00C816FB"/>
    <w:rsid w:val="00C955FC"/>
    <w:rsid w:val="00CA7195"/>
    <w:rsid w:val="00CB644B"/>
    <w:rsid w:val="00CB6F6A"/>
    <w:rsid w:val="00CD754E"/>
    <w:rsid w:val="00D04A74"/>
    <w:rsid w:val="00D211F9"/>
    <w:rsid w:val="00D40E7C"/>
    <w:rsid w:val="00D65A00"/>
    <w:rsid w:val="00D8609F"/>
    <w:rsid w:val="00D92713"/>
    <w:rsid w:val="00DD6071"/>
    <w:rsid w:val="00DE6807"/>
    <w:rsid w:val="00E34BA9"/>
    <w:rsid w:val="00E93858"/>
    <w:rsid w:val="00EF0942"/>
    <w:rsid w:val="00F07788"/>
    <w:rsid w:val="00F1665E"/>
    <w:rsid w:val="00F20E6D"/>
    <w:rsid w:val="00F47F90"/>
    <w:rsid w:val="00F7292E"/>
    <w:rsid w:val="00FB0A4C"/>
    <w:rsid w:val="00FB5DF1"/>
    <w:rsid w:val="00FB6CC7"/>
    <w:rsid w:val="00FD7FA6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B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AB8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rsid w:val="00960B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60B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60B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60B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60B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60B9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60B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60B92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semiHidden/>
    <w:unhideWhenUsed/>
    <w:rsid w:val="00ED7AB8"/>
    <w:rPr>
      <w:color w:val="0000FF"/>
      <w:u w:val="single"/>
    </w:rPr>
  </w:style>
  <w:style w:type="character" w:customStyle="1" w:styleId="st42">
    <w:name w:val="st42"/>
    <w:uiPriority w:val="99"/>
    <w:rsid w:val="00D34075"/>
    <w:rPr>
      <w:rFonts w:ascii="Times New Roman" w:hAnsi="Times New Roman"/>
      <w:color w:val="000000"/>
    </w:rPr>
  </w:style>
  <w:style w:type="paragraph" w:styleId="a5">
    <w:name w:val="Body Text"/>
    <w:basedOn w:val="a"/>
    <w:link w:val="a6"/>
    <w:rsid w:val="00D34075"/>
    <w:pPr>
      <w:autoSpaceDE/>
      <w:autoSpaceDN/>
      <w:spacing w:after="120"/>
    </w:pPr>
    <w:rPr>
      <w:szCs w:val="28"/>
    </w:rPr>
  </w:style>
  <w:style w:type="character" w:customStyle="1" w:styleId="a6">
    <w:name w:val="Основний текст Знак"/>
    <w:link w:val="a5"/>
    <w:rsid w:val="00D34075"/>
    <w:rPr>
      <w:rFonts w:eastAsia="Times New Roman" w:cs="Times New Roman"/>
      <w:szCs w:val="28"/>
      <w:lang w:eastAsia="ru-RU"/>
    </w:rPr>
  </w:style>
  <w:style w:type="character" w:customStyle="1" w:styleId="st131">
    <w:name w:val="st131"/>
    <w:uiPriority w:val="99"/>
    <w:rsid w:val="00D34075"/>
    <w:rPr>
      <w:rFonts w:ascii="Times New Roman" w:hAnsi="Times New Roman" w:cs="Times New Roman"/>
      <w:i/>
      <w:iCs/>
      <w:color w:val="0000FF"/>
    </w:rPr>
  </w:style>
  <w:style w:type="character" w:customStyle="1" w:styleId="st30">
    <w:name w:val="st30"/>
    <w:uiPriority w:val="99"/>
    <w:rsid w:val="00D34075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D34075"/>
    <w:rPr>
      <w:rFonts w:ascii="Times New Roman" w:hAnsi="Times New Roman" w:cs="Times New Roman"/>
      <w:i/>
      <w:iCs/>
      <w:color w:val="000000"/>
    </w:rPr>
  </w:style>
  <w:style w:type="paragraph" w:customStyle="1" w:styleId="st2">
    <w:name w:val="st2"/>
    <w:uiPriority w:val="99"/>
    <w:rsid w:val="00D34075"/>
    <w:pPr>
      <w:autoSpaceDE w:val="0"/>
      <w:autoSpaceDN w:val="0"/>
      <w:adjustRightInd w:val="0"/>
      <w:spacing w:after="150"/>
      <w:ind w:firstLine="45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47130E"/>
    <w:rPr>
      <w:rFonts w:ascii="Segoe UI" w:hAnsi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47130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unhideWhenUsed/>
    <w:rsid w:val="007D4CB1"/>
    <w:pPr>
      <w:spacing w:after="120"/>
      <w:ind w:left="283"/>
    </w:pPr>
  </w:style>
  <w:style w:type="character" w:customStyle="1" w:styleId="aa">
    <w:name w:val="Основний текст з відступом Знак"/>
    <w:link w:val="a9"/>
    <w:uiPriority w:val="99"/>
    <w:rsid w:val="007D4CB1"/>
    <w:rPr>
      <w:rFonts w:eastAsia="Times New Roman"/>
      <w:lang w:eastAsia="ru-RU"/>
    </w:rPr>
  </w:style>
  <w:style w:type="paragraph" w:styleId="ab">
    <w:name w:val="Normal (Web)"/>
    <w:basedOn w:val="a"/>
    <w:uiPriority w:val="99"/>
    <w:unhideWhenUsed/>
    <w:rsid w:val="007D4CB1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header"/>
    <w:basedOn w:val="a"/>
    <w:link w:val="ad"/>
    <w:uiPriority w:val="99"/>
    <w:unhideWhenUsed/>
    <w:rsid w:val="00911B25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rsid w:val="00911B25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911B25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rsid w:val="00911B25"/>
    <w:rPr>
      <w:rFonts w:eastAsia="Times New Roman"/>
      <w:lang w:eastAsia="ru-RU"/>
    </w:rPr>
  </w:style>
  <w:style w:type="character" w:customStyle="1" w:styleId="FontStyle">
    <w:name w:val="Font Style"/>
    <w:rsid w:val="00EC1CC4"/>
    <w:rPr>
      <w:rFonts w:cs="Courier New"/>
      <w:color w:val="000000"/>
      <w:sz w:val="20"/>
      <w:szCs w:val="20"/>
    </w:rPr>
  </w:style>
  <w:style w:type="paragraph" w:customStyle="1" w:styleId="StyleProp2">
    <w:name w:val="StyleProp2"/>
    <w:basedOn w:val="a"/>
    <w:uiPriority w:val="99"/>
    <w:rsid w:val="00EC1CC4"/>
    <w:pPr>
      <w:autoSpaceDE/>
      <w:autoSpaceDN/>
      <w:spacing w:after="120" w:line="200" w:lineRule="exact"/>
      <w:ind w:firstLine="227"/>
      <w:jc w:val="both"/>
    </w:pPr>
    <w:rPr>
      <w:sz w:val="18"/>
    </w:rPr>
  </w:style>
  <w:style w:type="character" w:customStyle="1" w:styleId="rvts11">
    <w:name w:val="rvts11"/>
    <w:rsid w:val="00AE12C9"/>
  </w:style>
  <w:style w:type="paragraph" w:styleId="af0">
    <w:name w:val="List Paragraph"/>
    <w:basedOn w:val="a"/>
    <w:uiPriority w:val="34"/>
    <w:qFormat/>
    <w:rsid w:val="00F67470"/>
    <w:pPr>
      <w:ind w:left="720"/>
      <w:contextualSpacing/>
    </w:pPr>
  </w:style>
  <w:style w:type="paragraph" w:styleId="HTML">
    <w:name w:val="HTML Preformatted"/>
    <w:basedOn w:val="a"/>
    <w:link w:val="HTML0"/>
    <w:rsid w:val="00172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rsid w:val="001729C5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rvts23">
    <w:name w:val="rvts23"/>
    <w:basedOn w:val="a0"/>
    <w:rsid w:val="001729C5"/>
  </w:style>
  <w:style w:type="paragraph" w:styleId="af1">
    <w:name w:val="footnote text"/>
    <w:basedOn w:val="a"/>
    <w:link w:val="af2"/>
    <w:uiPriority w:val="99"/>
    <w:semiHidden/>
    <w:unhideWhenUsed/>
    <w:rsid w:val="009C18DF"/>
    <w:pPr>
      <w:autoSpaceDE/>
      <w:autoSpaceDN/>
    </w:pPr>
  </w:style>
  <w:style w:type="character" w:customStyle="1" w:styleId="af2">
    <w:name w:val="Текст виноски Знак"/>
    <w:basedOn w:val="a0"/>
    <w:link w:val="af1"/>
    <w:uiPriority w:val="99"/>
    <w:semiHidden/>
    <w:rsid w:val="009C18DF"/>
    <w:rPr>
      <w:rFonts w:eastAsia="Times New Roman"/>
      <w:lang w:eastAsia="ru-RU"/>
    </w:rPr>
  </w:style>
  <w:style w:type="character" w:styleId="af3">
    <w:name w:val="footnote reference"/>
    <w:uiPriority w:val="99"/>
    <w:semiHidden/>
    <w:unhideWhenUsed/>
    <w:rsid w:val="009C18DF"/>
    <w:rPr>
      <w:vertAlign w:val="superscript"/>
    </w:rPr>
  </w:style>
  <w:style w:type="paragraph" w:styleId="af4">
    <w:name w:val="Subtitle"/>
    <w:basedOn w:val="a"/>
    <w:next w:val="a"/>
    <w:rsid w:val="00960B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vts0">
    <w:name w:val="rvts0"/>
    <w:basedOn w:val="a0"/>
    <w:rsid w:val="003F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4EDA-79FC-4039-A2B0-D4961BA1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7652</Words>
  <Characters>4362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2021-01-25T10:37:00Z</dcterms:created>
  <dcterms:modified xsi:type="dcterms:W3CDTF">2021-01-25T11:00:00Z</dcterms:modified>
</cp:coreProperties>
</file>