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E7" w:rsidRPr="00A7723D" w:rsidRDefault="006C2CE7" w:rsidP="006C2CE7">
      <w:pPr>
        <w:spacing w:line="480" w:lineRule="auto"/>
        <w:ind w:left="1701" w:right="851" w:firstLine="1134"/>
        <w:jc w:val="both"/>
        <w:rPr>
          <w:rFonts w:ascii="Times New Roman" w:hAnsi="Times New Roman" w:cs="Times New Roman"/>
          <w:b/>
          <w:bCs/>
          <w:sz w:val="28"/>
          <w:szCs w:val="28"/>
        </w:rPr>
      </w:pPr>
      <w:bookmarkStart w:id="0" w:name="_GoBack"/>
      <w:bookmarkEnd w:id="0"/>
      <w:r w:rsidRPr="00A7723D">
        <w:rPr>
          <w:rFonts w:ascii="Times New Roman" w:hAnsi="Times New Roman" w:cs="Times New Roman"/>
          <w:b/>
          <w:bCs/>
          <w:sz w:val="28"/>
          <w:szCs w:val="28"/>
        </w:rPr>
        <w:t>ПОЯСНЮВАЛЬНА ЗАПИСКА</w:t>
      </w:r>
    </w:p>
    <w:p w:rsidR="006C2CE7" w:rsidRPr="008A75DE" w:rsidRDefault="006C2CE7" w:rsidP="002B1931">
      <w:pPr>
        <w:jc w:val="center"/>
        <w:rPr>
          <w:rFonts w:ascii="Times New Roman" w:hAnsi="Times New Roman" w:cs="Times New Roman"/>
          <w:b/>
          <w:bCs/>
          <w:sz w:val="28"/>
          <w:szCs w:val="28"/>
          <w:lang w:val="uk-UA"/>
        </w:rPr>
      </w:pPr>
      <w:r w:rsidRPr="004A76F2">
        <w:rPr>
          <w:rFonts w:ascii="Times New Roman" w:hAnsi="Times New Roman" w:cs="Times New Roman"/>
          <w:b/>
          <w:bCs/>
          <w:sz w:val="28"/>
          <w:szCs w:val="28"/>
          <w:lang w:val="uk-UA"/>
        </w:rPr>
        <w:t xml:space="preserve">до </w:t>
      </w:r>
      <w:r w:rsidR="002B1931" w:rsidRPr="002B1931">
        <w:rPr>
          <w:rFonts w:ascii="Times New Roman" w:hAnsi="Times New Roman" w:cs="Times New Roman"/>
          <w:b/>
          <w:bCs/>
          <w:sz w:val="28"/>
          <w:szCs w:val="28"/>
          <w:lang w:val="uk-UA"/>
        </w:rPr>
        <w:t xml:space="preserve">проєкту Закону України «Про </w:t>
      </w:r>
      <w:r w:rsidR="002B1931">
        <w:rPr>
          <w:rFonts w:ascii="Times New Roman" w:hAnsi="Times New Roman" w:cs="Times New Roman"/>
          <w:b/>
          <w:bCs/>
          <w:sz w:val="28"/>
          <w:szCs w:val="28"/>
          <w:lang w:val="uk-UA"/>
        </w:rPr>
        <w:t xml:space="preserve">внесення змін до деяких законів </w:t>
      </w:r>
      <w:r w:rsidR="002B1931" w:rsidRPr="002B1931">
        <w:rPr>
          <w:rFonts w:ascii="Times New Roman" w:hAnsi="Times New Roman" w:cs="Times New Roman"/>
          <w:b/>
          <w:bCs/>
          <w:sz w:val="28"/>
          <w:szCs w:val="28"/>
          <w:lang w:val="uk-UA"/>
        </w:rPr>
        <w:t>України щодо надання пільг громадян</w:t>
      </w:r>
      <w:r w:rsidR="002B1931">
        <w:rPr>
          <w:rFonts w:ascii="Times New Roman" w:hAnsi="Times New Roman" w:cs="Times New Roman"/>
          <w:b/>
          <w:bCs/>
          <w:sz w:val="28"/>
          <w:szCs w:val="28"/>
          <w:lang w:val="uk-UA"/>
        </w:rPr>
        <w:t>ам</w:t>
      </w:r>
      <w:r w:rsidR="002B1931" w:rsidRPr="002B1931">
        <w:rPr>
          <w:rFonts w:ascii="Times New Roman" w:hAnsi="Times New Roman" w:cs="Times New Roman"/>
          <w:b/>
          <w:bCs/>
          <w:sz w:val="28"/>
          <w:szCs w:val="28"/>
          <w:lang w:val="uk-UA"/>
        </w:rPr>
        <w:t xml:space="preserve"> України, що звертаються за вчиненням консульських дій»</w:t>
      </w:r>
      <w:r w:rsidR="002919C9">
        <w:rPr>
          <w:rFonts w:ascii="Times New Roman" w:hAnsi="Times New Roman" w:cs="Times New Roman"/>
          <w:b/>
          <w:bCs/>
          <w:sz w:val="28"/>
          <w:szCs w:val="28"/>
          <w:lang w:val="uk-UA"/>
        </w:rPr>
        <w:t>.</w:t>
      </w:r>
    </w:p>
    <w:p w:rsidR="006C2CE7" w:rsidRDefault="006C2CE7" w:rsidP="006C2CE7">
      <w:pPr>
        <w:jc w:val="center"/>
        <w:rPr>
          <w:rFonts w:ascii="Times New Roman" w:hAnsi="Times New Roman" w:cs="Times New Roman"/>
          <w:sz w:val="28"/>
          <w:szCs w:val="28"/>
          <w:lang w:val="uk-UA"/>
        </w:rPr>
      </w:pPr>
    </w:p>
    <w:p w:rsidR="00B34D25" w:rsidRPr="002B1931" w:rsidRDefault="006C2CE7" w:rsidP="004F21B2">
      <w:pPr>
        <w:numPr>
          <w:ilvl w:val="0"/>
          <w:numId w:val="1"/>
        </w:numPr>
        <w:tabs>
          <w:tab w:val="left" w:pos="0"/>
          <w:tab w:val="left" w:pos="1069"/>
        </w:tabs>
        <w:spacing w:line="360" w:lineRule="auto"/>
        <w:ind w:left="1069" w:hanging="360"/>
        <w:jc w:val="both"/>
        <w:rPr>
          <w:rFonts w:ascii="Times New Roman" w:hAnsi="Times New Roman" w:cs="Times New Roman"/>
          <w:sz w:val="28"/>
          <w:szCs w:val="28"/>
          <w:lang w:val="uk-UA"/>
        </w:rPr>
      </w:pPr>
      <w:r w:rsidRPr="002B1931">
        <w:rPr>
          <w:rFonts w:ascii="Times New Roman" w:hAnsi="Times New Roman" w:cs="Times New Roman"/>
          <w:b/>
          <w:bCs/>
          <w:sz w:val="28"/>
          <w:szCs w:val="28"/>
          <w:lang w:val="en-US"/>
        </w:rPr>
        <w:t>Обґрунтування необхідності прийняття акта</w:t>
      </w:r>
      <w:r w:rsidR="004F21B2" w:rsidRPr="002B1931">
        <w:rPr>
          <w:rFonts w:ascii="Times New Roman" w:hAnsi="Times New Roman" w:cs="Times New Roman"/>
          <w:bCs/>
          <w:sz w:val="28"/>
          <w:szCs w:val="28"/>
          <w:lang w:val="uk-UA"/>
        </w:rPr>
        <w:t xml:space="preserve"> </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Проєкт розроблено з метою посилення захисту уразливих верств громадян України за кордоном шляхом встановлення пільг окремим категоріям громадян України при сплаті консульського збору за вчинення консульських дій в закордонних дипломатичних установах України та  (далі - ЗДУ).</w:t>
      </w:r>
    </w:p>
    <w:p w:rsidR="002B1931" w:rsidRPr="002B1931" w:rsidRDefault="002B1931" w:rsidP="002B1931">
      <w:pPr>
        <w:pStyle w:val="a6"/>
        <w:spacing w:before="0" w:beforeAutospacing="0" w:after="0" w:afterAutospacing="0"/>
        <w:ind w:firstLine="567"/>
        <w:jc w:val="both"/>
        <w:rPr>
          <w:sz w:val="28"/>
          <w:szCs w:val="28"/>
        </w:rPr>
      </w:pPr>
    </w:p>
    <w:p w:rsidR="002B1931" w:rsidRPr="002B1931" w:rsidRDefault="002B1931" w:rsidP="002B1931">
      <w:pPr>
        <w:pStyle w:val="a5"/>
        <w:numPr>
          <w:ilvl w:val="0"/>
          <w:numId w:val="1"/>
        </w:numPr>
        <w:tabs>
          <w:tab w:val="left" w:pos="851"/>
        </w:tabs>
        <w:ind w:right="0"/>
        <w:jc w:val="both"/>
        <w:rPr>
          <w:rFonts w:ascii="Times New Roman" w:hAnsi="Times New Roman" w:cs="Times New Roman"/>
          <w:sz w:val="28"/>
          <w:szCs w:val="28"/>
        </w:rPr>
      </w:pPr>
      <w:r w:rsidRPr="002B1931">
        <w:rPr>
          <w:rFonts w:ascii="Times New Roman" w:hAnsi="Times New Roman" w:cs="Times New Roman"/>
          <w:b/>
          <w:bCs/>
          <w:spacing w:val="2"/>
          <w:sz w:val="28"/>
          <w:szCs w:val="28"/>
        </w:rPr>
        <w:t>Проблема, яка потребує розв’язання </w:t>
      </w:r>
    </w:p>
    <w:p w:rsidR="002B1931" w:rsidRDefault="002B1931" w:rsidP="002B1931">
      <w:pPr>
        <w:pStyle w:val="a6"/>
        <w:spacing w:before="0" w:beforeAutospacing="0" w:after="0" w:afterAutospacing="0"/>
        <w:ind w:firstLine="567"/>
        <w:jc w:val="both"/>
        <w:rPr>
          <w:sz w:val="28"/>
          <w:szCs w:val="28"/>
        </w:rPr>
      </w:pPr>
      <w:r w:rsidRPr="002B1931">
        <w:rPr>
          <w:sz w:val="28"/>
          <w:szCs w:val="28"/>
        </w:rPr>
        <w:t xml:space="preserve">На сьогодні в Україні відсутня законодавча база для надання пільг при сплаті консульського збору за вчинення консульських дій у ЗДУ громадянам України, </w:t>
      </w:r>
      <w:r w:rsidRPr="002B1931">
        <w:rPr>
          <w:color w:val="000000"/>
          <w:sz w:val="28"/>
          <w:szCs w:val="28"/>
        </w:rPr>
        <w:t>постраждалим внаслідок Чорнобильської катастрофи, віднесеним до категорій 1 і 2, особам з інвалідністю І, ІІ груп, дітям з інвалідністю та громадян, які опинилися в надзвичайній ситуації</w:t>
      </w:r>
      <w:r w:rsidRPr="002B1931">
        <w:rPr>
          <w:sz w:val="28"/>
          <w:szCs w:val="28"/>
        </w:rPr>
        <w:t>.</w:t>
      </w:r>
    </w:p>
    <w:p w:rsidR="00284141" w:rsidRPr="002B1931" w:rsidRDefault="00284141" w:rsidP="002B1931">
      <w:pPr>
        <w:pStyle w:val="a6"/>
        <w:spacing w:before="0" w:beforeAutospacing="0" w:after="0" w:afterAutospacing="0"/>
        <w:ind w:firstLine="567"/>
        <w:jc w:val="both"/>
        <w:rPr>
          <w:sz w:val="28"/>
          <w:szCs w:val="28"/>
        </w:rPr>
      </w:pPr>
      <w:r>
        <w:rPr>
          <w:sz w:val="28"/>
          <w:szCs w:val="28"/>
        </w:rPr>
        <w:t xml:space="preserve">Відповідно до п. 24 ч. 1 ст. 2 Кодексу цивільного захисту України, </w:t>
      </w:r>
      <w:r w:rsidRPr="00284141">
        <w:rPr>
          <w:sz w:val="28"/>
          <w:szCs w:val="28"/>
          <w:lang w:val="ru-RU"/>
        </w:rPr>
        <w:t>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w:t>
      </w:r>
      <w:r>
        <w:rPr>
          <w:sz w:val="28"/>
          <w:szCs w:val="28"/>
          <w:lang w:val="ru-RU"/>
        </w:rPr>
        <w:t>арської діяльності.</w:t>
      </w:r>
    </w:p>
    <w:p w:rsidR="002B1931" w:rsidRDefault="00284141" w:rsidP="002B1931">
      <w:pPr>
        <w:pStyle w:val="a6"/>
        <w:spacing w:before="0" w:beforeAutospacing="0" w:after="0" w:afterAutospacing="0"/>
        <w:ind w:firstLine="567"/>
        <w:jc w:val="both"/>
        <w:rPr>
          <w:sz w:val="28"/>
          <w:szCs w:val="28"/>
          <w:shd w:val="clear" w:color="auto" w:fill="FFFFFF"/>
        </w:rPr>
      </w:pPr>
      <w:r>
        <w:rPr>
          <w:sz w:val="28"/>
          <w:szCs w:val="28"/>
          <w:shd w:val="clear" w:color="auto" w:fill="FFFFFF"/>
        </w:rPr>
        <w:t xml:space="preserve">Враховуючи вищевикладене, вважаємо за необхідне максимально захистити вразливу категорію громадян України, або громадян, які  опинилися в надзвичайній ситуації за кордоном. </w:t>
      </w:r>
    </w:p>
    <w:p w:rsidR="00787054" w:rsidRPr="002B1931" w:rsidRDefault="00787054" w:rsidP="002B1931">
      <w:pPr>
        <w:pStyle w:val="a6"/>
        <w:spacing w:before="0" w:beforeAutospacing="0" w:after="0" w:afterAutospacing="0"/>
        <w:ind w:firstLine="567"/>
        <w:jc w:val="both"/>
        <w:rPr>
          <w:sz w:val="28"/>
          <w:szCs w:val="28"/>
        </w:rPr>
      </w:pP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Відповідно до Консульського статуту України, затвердженого Указом Президента України від 02.04.1994 № 127, та підпункту «о» пункту 6 статті 3 Декрету Кабінету Міністрів України від 21.01.1993 № 7-93 «Про державне мито», за вчинення консульських дій, які провадяться за кордоном і на території України, справляється консульський збір згідно з тарифами консульських зборів України.</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Вказані тарифи закріплені Положенням про консульський збір України, затвердженим наказом МЗС від 23.04.2018 № 182, зареєстрованим в Міністерстві юстиції України 18.05.2018 за № 610/32062.</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lastRenderedPageBreak/>
        <w:t>Нормами попереднього Положення про консульський збір України, затвердженого наказом МЗС від 05.01.2011 № 3, зареєстрованого в Міністерстві юстиції України 31.01.2011 за №131/18869, яке втратило чинність відповідно до наказу МЗС від 23.04.2018 № 182, передбачалися пільги при сплаті консульського збору особам, яким такі пільги встановлені Декретом КМУ від 21.07.1993 № 7-93 «Про державне мито».</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У зв’язку з набранням чинності Законом України від 14.07.2016 № 1474-</w:t>
      </w:r>
      <w:r w:rsidRPr="002B1931">
        <w:rPr>
          <w:sz w:val="28"/>
          <w:szCs w:val="28"/>
          <w:lang w:val="en-US"/>
        </w:rPr>
        <w:t>VIII</w:t>
      </w:r>
      <w:r w:rsidRPr="002B1931">
        <w:rPr>
          <w:sz w:val="28"/>
          <w:szCs w:val="28"/>
        </w:rPr>
        <w:t xml:space="preserve">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ЄС візового режиму для України» було скасовано стягнення державного мита до Державного бюджету України за зазначені дії. </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Відповідно, норму щодо поширення пільг при сплаті державного мита на осіб, які сплачують консульський збір, не було інкорпоровано до нового Положення про консульський збір України, затвердженого наказом МЗС від 23.04.2018 № 182, зареєстрованого в Міністерстві юстиції України 18.05.2018 за № 610/32062. </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Таким чином, пільги, визначені статтею 4 Декрету, не застосовуються до громадян, які сплачують консульський збір. </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Чинним Положенням передбачено, що пільги при сплаті консульського збору застосовуються у випадках, передбачених законодавством України та чинними міжнародними договорами України.</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Відповідно до статті 92 Конституції України, основи соціального захисту визначаються виключно законами України. Законами України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не встановлено пільги зазначеним категоріям громадян при сплаті консульського збору.</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(абзац четвертий частини 1 статті 20) визначено, що консульський збір справляється у порядку та розмірах, визначених законодавством.</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Положенням про консульський збір України, затвердженим наказом МЗС від 23.04.2018 № 182, зареєстрованим в Міністерстві юстиції України 18.05.2018 за №610/32062 (абзац другий пункту 12), та додатком 2 до Положення про консульський збір України (пункт 1 розділу І «Паспортні дії») передбачено надання пільги зі сплати консульського збору за оформлення паспорта громадянина України для виїзду за кордон особам, які не досягли 16-річного віку. </w:t>
      </w:r>
    </w:p>
    <w:p w:rsidR="002B1931" w:rsidRPr="002B1931" w:rsidRDefault="002B1931" w:rsidP="002B1931">
      <w:pPr>
        <w:pStyle w:val="a6"/>
        <w:spacing w:before="0" w:beforeAutospacing="0" w:after="0" w:afterAutospacing="0"/>
        <w:ind w:firstLine="567"/>
        <w:jc w:val="both"/>
        <w:rPr>
          <w:sz w:val="28"/>
          <w:szCs w:val="28"/>
        </w:rPr>
      </w:pPr>
    </w:p>
    <w:p w:rsidR="002B1931" w:rsidRPr="002B1931" w:rsidRDefault="002B1931" w:rsidP="002B1931">
      <w:pPr>
        <w:pStyle w:val="a6"/>
        <w:spacing w:before="0" w:beforeAutospacing="0" w:after="0" w:afterAutospacing="0"/>
        <w:ind w:firstLine="567"/>
        <w:jc w:val="both"/>
        <w:rPr>
          <w:sz w:val="28"/>
          <w:szCs w:val="28"/>
        </w:rPr>
      </w:pPr>
      <w:r w:rsidRPr="002B1931">
        <w:rPr>
          <w:b/>
          <w:bCs/>
          <w:spacing w:val="2"/>
          <w:sz w:val="28"/>
          <w:szCs w:val="28"/>
        </w:rPr>
        <w:t>3. Суть проєкту акта</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Проєкт акта розроблено з метою забезпечення державою гарантій соціального захисту громадян України, </w:t>
      </w:r>
      <w:r w:rsidRPr="002B1931">
        <w:rPr>
          <w:color w:val="000000"/>
          <w:sz w:val="28"/>
          <w:szCs w:val="28"/>
        </w:rPr>
        <w:t xml:space="preserve">постраждалих внаслідок Чорнобильської катастрофи, віднесених до категорій 1 і 2, осіб з інвалідністю </w:t>
      </w:r>
      <w:r w:rsidRPr="002B1931">
        <w:rPr>
          <w:color w:val="000000"/>
          <w:sz w:val="28"/>
          <w:szCs w:val="28"/>
        </w:rPr>
        <w:lastRenderedPageBreak/>
        <w:t>І, ІІ груп</w:t>
      </w:r>
      <w:r w:rsidRPr="002B1931">
        <w:rPr>
          <w:sz w:val="28"/>
          <w:szCs w:val="28"/>
        </w:rPr>
        <w:t>, дітей з інвалідністю, а також врегулювання питання застосування пільги зі сплати консульського збору за оформлення паспорта громадянина України для виїзду за кордон особам, які не досягли 16-річного віку.</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Окремо потребують соціального захисту громадяни, які опинилися в надзвичайній ситуації за кордоном та потребують оперативних консульських послуг щодо оформлення документів для повернення в Україну, вчинення нотаріальних дій для </w:t>
      </w:r>
      <w:r w:rsidRPr="002B1931">
        <w:rPr>
          <w:sz w:val="28"/>
          <w:szCs w:val="28"/>
          <w:shd w:val="clear" w:color="auto" w:fill="FFFFFF"/>
        </w:rPr>
        <w:t>посвідчення факту, що фізична особа є живою,</w:t>
      </w:r>
      <w:r w:rsidRPr="002B1931">
        <w:rPr>
          <w:sz w:val="28"/>
          <w:szCs w:val="28"/>
        </w:rPr>
        <w:t xml:space="preserve"> </w:t>
      </w:r>
      <w:r w:rsidRPr="002B1931">
        <w:rPr>
          <w:sz w:val="28"/>
          <w:szCs w:val="28"/>
          <w:shd w:val="clear" w:color="auto" w:fill="FFFFFF"/>
        </w:rPr>
        <w:t>посвідчення заповіту, вжиття заходів охорони спадкового майна та інші.</w:t>
      </w:r>
      <w:r w:rsidRPr="002B1931">
        <w:rPr>
          <w:sz w:val="28"/>
          <w:szCs w:val="28"/>
        </w:rPr>
        <w:t xml:space="preserve">. </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Редакцією проєкту Закону деталізовано перелік осіб, які матимуть право на отримання пільг при сплаті консульського збору за вчинення окремих консульських дій в ЗДУ під час перебування за кордоном.</w:t>
      </w:r>
    </w:p>
    <w:p w:rsidR="002B1931" w:rsidRPr="002B1931" w:rsidRDefault="002B1931" w:rsidP="002B1931">
      <w:pPr>
        <w:pStyle w:val="a6"/>
        <w:spacing w:before="0" w:beforeAutospacing="0" w:after="0" w:afterAutospacing="0"/>
        <w:ind w:firstLine="709"/>
        <w:jc w:val="both"/>
        <w:rPr>
          <w:sz w:val="28"/>
          <w:szCs w:val="28"/>
        </w:rPr>
      </w:pPr>
    </w:p>
    <w:p w:rsidR="002B1931" w:rsidRPr="002B1931" w:rsidRDefault="002B1931" w:rsidP="002B1931">
      <w:pPr>
        <w:pStyle w:val="a5"/>
        <w:numPr>
          <w:ilvl w:val="0"/>
          <w:numId w:val="6"/>
        </w:numPr>
        <w:tabs>
          <w:tab w:val="left" w:pos="851"/>
        </w:tabs>
        <w:ind w:left="0" w:right="0" w:firstLine="567"/>
        <w:jc w:val="both"/>
        <w:rPr>
          <w:rFonts w:ascii="Times New Roman" w:hAnsi="Times New Roman" w:cs="Times New Roman"/>
          <w:sz w:val="28"/>
          <w:szCs w:val="28"/>
        </w:rPr>
      </w:pPr>
      <w:r w:rsidRPr="002B1931">
        <w:rPr>
          <w:rFonts w:ascii="Times New Roman" w:hAnsi="Times New Roman" w:cs="Times New Roman"/>
          <w:b/>
          <w:bCs/>
          <w:sz w:val="28"/>
          <w:szCs w:val="28"/>
        </w:rPr>
        <w:t>Вплив на бюджет</w:t>
      </w:r>
    </w:p>
    <w:p w:rsidR="002B1931" w:rsidRPr="002B1931" w:rsidRDefault="002B1931" w:rsidP="002B1931">
      <w:pPr>
        <w:pStyle w:val="a6"/>
        <w:spacing w:before="0" w:beforeAutospacing="0" w:after="0" w:afterAutospacing="0"/>
        <w:ind w:firstLine="567"/>
        <w:jc w:val="both"/>
        <w:rPr>
          <w:sz w:val="28"/>
          <w:szCs w:val="28"/>
        </w:rPr>
      </w:pPr>
      <w:r w:rsidRPr="002B1931">
        <w:rPr>
          <w:spacing w:val="3"/>
          <w:sz w:val="28"/>
          <w:szCs w:val="28"/>
        </w:rPr>
        <w:t>Прийняття акта та подальша реалізація його положень може призвести до</w:t>
      </w:r>
      <w:r w:rsidRPr="002B1931">
        <w:rPr>
          <w:sz w:val="28"/>
          <w:szCs w:val="28"/>
        </w:rPr>
        <w:t xml:space="preserve"> несуттєвого зменшення фактичних доходів</w:t>
      </w:r>
      <w:r w:rsidRPr="002B1931">
        <w:rPr>
          <w:spacing w:val="3"/>
          <w:sz w:val="28"/>
          <w:szCs w:val="28"/>
        </w:rPr>
        <w:t xml:space="preserve"> до </w:t>
      </w:r>
      <w:r w:rsidRPr="002B1931">
        <w:rPr>
          <w:sz w:val="28"/>
          <w:szCs w:val="28"/>
        </w:rPr>
        <w:t xml:space="preserve">державного бюджету. </w:t>
      </w:r>
    </w:p>
    <w:p w:rsidR="002B1931" w:rsidRPr="002B1931" w:rsidRDefault="002B1931" w:rsidP="002B1931">
      <w:pPr>
        <w:pStyle w:val="a6"/>
        <w:spacing w:before="0" w:beforeAutospacing="0" w:after="0" w:afterAutospacing="0"/>
        <w:ind w:firstLine="567"/>
        <w:jc w:val="both"/>
        <w:rPr>
          <w:rFonts w:eastAsia="Calibri"/>
          <w:sz w:val="28"/>
          <w:szCs w:val="28"/>
        </w:rPr>
      </w:pPr>
      <w:r w:rsidRPr="002B1931">
        <w:rPr>
          <w:sz w:val="28"/>
          <w:szCs w:val="28"/>
        </w:rPr>
        <w:t>За результатами аналізу звернень громадян України до ЗДУ з клопотаннями про отримання пільги при оформленні паспорта громадянина України для виїзду за кордон, вчиненні нотаріальних дій встановлено, що у разі запровадження вказаних пільг втрати Державного бюджету складатимуть орієнтовно 7 000 дол. США щороку (17</w:t>
      </w:r>
      <w:r w:rsidRPr="002B1931">
        <w:rPr>
          <w:sz w:val="28"/>
          <w:szCs w:val="28"/>
          <w:lang w:val="ru-RU"/>
        </w:rPr>
        <w:t xml:space="preserve">0 </w:t>
      </w:r>
      <w:r w:rsidRPr="002B1931">
        <w:rPr>
          <w:sz w:val="28"/>
          <w:szCs w:val="28"/>
        </w:rPr>
        <w:t>тис. 585</w:t>
      </w:r>
      <w:r w:rsidRPr="002B1931">
        <w:rPr>
          <w:rFonts w:eastAsia="Calibri"/>
          <w:sz w:val="28"/>
          <w:szCs w:val="28"/>
        </w:rPr>
        <w:t xml:space="preserve"> грн. за курсом Національного банку України станом на 24.11.2</w:t>
      </w:r>
      <w:r w:rsidR="008260A6">
        <w:rPr>
          <w:rFonts w:eastAsia="Calibri"/>
          <w:sz w:val="28"/>
          <w:szCs w:val="28"/>
        </w:rPr>
        <w:t>020, згідно фінансово-економічних розрахунків</w:t>
      </w:r>
      <w:r w:rsidRPr="002B1931">
        <w:rPr>
          <w:rFonts w:eastAsia="Calibri"/>
          <w:sz w:val="28"/>
          <w:szCs w:val="28"/>
        </w:rPr>
        <w:t xml:space="preserve"> до проєкту № 4539 від 24.12.2020 року.</w:t>
      </w:r>
    </w:p>
    <w:p w:rsidR="002B1931" w:rsidRPr="002B1931" w:rsidRDefault="002B1931" w:rsidP="002B1931">
      <w:pPr>
        <w:pStyle w:val="a6"/>
        <w:spacing w:before="0" w:beforeAutospacing="0" w:after="0" w:afterAutospacing="0"/>
        <w:ind w:firstLine="567"/>
        <w:jc w:val="both"/>
        <w:rPr>
          <w:rFonts w:eastAsia="Calibri"/>
          <w:bCs/>
          <w:sz w:val="28"/>
          <w:szCs w:val="28"/>
        </w:rPr>
      </w:pPr>
      <w:r w:rsidRPr="002B1931">
        <w:rPr>
          <w:rFonts w:eastAsia="Calibri"/>
          <w:sz w:val="28"/>
          <w:szCs w:val="28"/>
        </w:rPr>
        <w:t xml:space="preserve">Якщо не вистачить коштів на фінансування – передбачити </w:t>
      </w:r>
      <w:r w:rsidRPr="002B1931">
        <w:rPr>
          <w:rFonts w:eastAsia="Calibri"/>
          <w:bCs/>
          <w:sz w:val="28"/>
          <w:szCs w:val="28"/>
        </w:rPr>
        <w:t>Резервний фонд з Кабінету Міністрів України.</w:t>
      </w:r>
    </w:p>
    <w:p w:rsidR="002B1931" w:rsidRPr="002B1931" w:rsidRDefault="002B1931" w:rsidP="002B1931">
      <w:pPr>
        <w:pStyle w:val="a6"/>
        <w:spacing w:before="0" w:beforeAutospacing="0" w:after="0" w:afterAutospacing="0"/>
        <w:ind w:firstLine="567"/>
        <w:jc w:val="both"/>
        <w:rPr>
          <w:rFonts w:eastAsia="Calibri"/>
          <w:sz w:val="28"/>
          <w:szCs w:val="28"/>
        </w:rPr>
      </w:pPr>
    </w:p>
    <w:p w:rsidR="002B1931" w:rsidRPr="002B1931" w:rsidRDefault="002B1931" w:rsidP="002B1931">
      <w:pPr>
        <w:pStyle w:val="a6"/>
        <w:spacing w:before="0" w:beforeAutospacing="0" w:after="0" w:afterAutospacing="0"/>
        <w:ind w:firstLine="567"/>
        <w:jc w:val="both"/>
        <w:rPr>
          <w:rFonts w:eastAsia="Times New Roman"/>
          <w:sz w:val="28"/>
          <w:szCs w:val="28"/>
        </w:rPr>
      </w:pPr>
      <w:r w:rsidRPr="002B1931">
        <w:rPr>
          <w:rFonts w:eastAsia="Times New Roman"/>
          <w:b/>
          <w:bCs/>
          <w:sz w:val="28"/>
          <w:szCs w:val="28"/>
        </w:rPr>
        <w:t>5. Прогноз впливу</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Реалізація акта сприятиме забезпеченню державою гарантій соціального захисту уразливих категорій громадян України, а також громадян, які опинилися в надзвичайній ситуації під час перебування за кордоном.</w:t>
      </w:r>
    </w:p>
    <w:p w:rsidR="002B1931" w:rsidRPr="002B1931" w:rsidRDefault="002B1931" w:rsidP="002B1931">
      <w:pPr>
        <w:pStyle w:val="a6"/>
        <w:spacing w:before="0" w:beforeAutospacing="0" w:after="0" w:afterAutospacing="0"/>
        <w:ind w:firstLine="567"/>
        <w:jc w:val="both"/>
        <w:rPr>
          <w:sz w:val="28"/>
          <w:szCs w:val="28"/>
        </w:rPr>
      </w:pPr>
    </w:p>
    <w:p w:rsidR="002B1931" w:rsidRPr="002B1931" w:rsidRDefault="002B1931" w:rsidP="002B1931">
      <w:pPr>
        <w:ind w:firstLine="567"/>
        <w:jc w:val="both"/>
        <w:rPr>
          <w:rFonts w:ascii="Times New Roman" w:hAnsi="Times New Roman" w:cs="Times New Roman"/>
          <w:sz w:val="28"/>
          <w:szCs w:val="28"/>
        </w:rPr>
      </w:pPr>
      <w:r w:rsidRPr="002B1931">
        <w:rPr>
          <w:rFonts w:ascii="Times New Roman" w:hAnsi="Times New Roman" w:cs="Times New Roman"/>
          <w:b/>
          <w:bCs/>
          <w:spacing w:val="2"/>
          <w:sz w:val="28"/>
          <w:szCs w:val="28"/>
          <w:lang w:val="uk-UA"/>
        </w:rPr>
        <w:t>6</w:t>
      </w:r>
      <w:r w:rsidRPr="002B1931">
        <w:rPr>
          <w:rFonts w:ascii="Times New Roman" w:hAnsi="Times New Roman" w:cs="Times New Roman"/>
          <w:b/>
          <w:bCs/>
          <w:spacing w:val="2"/>
          <w:sz w:val="28"/>
          <w:szCs w:val="28"/>
        </w:rPr>
        <w:t xml:space="preserve">. Підстава </w:t>
      </w:r>
      <w:r w:rsidRPr="002B1931">
        <w:rPr>
          <w:rFonts w:ascii="Times New Roman" w:hAnsi="Times New Roman" w:cs="Times New Roman"/>
          <w:b/>
          <w:bCs/>
          <w:sz w:val="28"/>
          <w:szCs w:val="28"/>
        </w:rPr>
        <w:t>розроблення проєкту акта</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Проєкт акта розроблено для забезпечення гарантій соціального захисту громадян України, </w:t>
      </w:r>
      <w:r w:rsidRPr="002B1931">
        <w:rPr>
          <w:color w:val="000000"/>
          <w:sz w:val="28"/>
          <w:szCs w:val="28"/>
        </w:rPr>
        <w:t>постраждалих внаслідок Чорнобильської катастрофи, віднесених до категорій 1 і 2, та осіб з інвалідністю І, ІІ груп</w:t>
      </w:r>
      <w:r w:rsidRPr="002B1931">
        <w:rPr>
          <w:sz w:val="28"/>
          <w:szCs w:val="28"/>
        </w:rPr>
        <w:t>, дітей з інвалідністю під час їх звернень до ЗДУ з метою отримання пільг при вчиненні консульських дій.</w:t>
      </w:r>
    </w:p>
    <w:p w:rsidR="002B1931" w:rsidRPr="002B1931" w:rsidRDefault="002B1931" w:rsidP="002B1931">
      <w:pPr>
        <w:pStyle w:val="a6"/>
        <w:spacing w:before="0" w:beforeAutospacing="0" w:after="0" w:afterAutospacing="0"/>
        <w:ind w:firstLine="567"/>
        <w:jc w:val="both"/>
        <w:rPr>
          <w:sz w:val="28"/>
          <w:szCs w:val="28"/>
        </w:rPr>
      </w:pPr>
      <w:r w:rsidRPr="002B1931">
        <w:rPr>
          <w:sz w:val="28"/>
          <w:szCs w:val="28"/>
        </w:rPr>
        <w:t xml:space="preserve">При розробці акта враховано положення Конституції України; Резолюції 48/96 ГА ООН від 20.12.1993 «Стандартні правила забезпечення рівних можливостей для інвалідів»; Конвенції про права осіб з інвалідністю; законів України «Про основи соціальної захищеності осіб з інвалідністю в Україні», «Про статус і соціальний захист громадян, які постраждали внаслідок Чорнобильської катастрофи», </w:t>
      </w:r>
      <w:r w:rsidRPr="002B1931">
        <w:rPr>
          <w:color w:val="000000"/>
          <w:sz w:val="28"/>
          <w:szCs w:val="28"/>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r w:rsidRPr="002B1931">
        <w:rPr>
          <w:rFonts w:eastAsia="Times New Roman"/>
          <w:color w:val="000000"/>
          <w:sz w:val="28"/>
          <w:szCs w:val="28"/>
        </w:rPr>
        <w:t xml:space="preserve">«Про нотаріат», </w:t>
      </w:r>
      <w:r w:rsidRPr="002B1931">
        <w:rPr>
          <w:color w:val="000000"/>
          <w:sz w:val="28"/>
          <w:szCs w:val="28"/>
        </w:rPr>
        <w:t xml:space="preserve">«Про реабілітацію осіб з інвалідністю в Україні»; </w:t>
      </w:r>
      <w:r w:rsidRPr="002B1931">
        <w:rPr>
          <w:sz w:val="28"/>
          <w:szCs w:val="28"/>
        </w:rPr>
        <w:t xml:space="preserve">Консульського статуту України, затвердженого </w:t>
      </w:r>
      <w:r w:rsidRPr="002B1931">
        <w:rPr>
          <w:sz w:val="28"/>
          <w:szCs w:val="28"/>
        </w:rPr>
        <w:lastRenderedPageBreak/>
        <w:t xml:space="preserve">Указом Президента України від 02.04.1994 № 127; </w:t>
      </w:r>
      <w:hyperlink r:id="rId9" w:anchor="n8" w:tgtFrame="_blank" w:history="1">
        <w:r w:rsidRPr="002B1931">
          <w:rPr>
            <w:rStyle w:val="a4"/>
            <w:color w:val="auto"/>
            <w:sz w:val="28"/>
            <w:szCs w:val="28"/>
            <w:u w:val="none"/>
          </w:rPr>
          <w:t>Положення про Міністерство закордонних справ України</w:t>
        </w:r>
      </w:hyperlink>
      <w:r w:rsidRPr="002B1931">
        <w:rPr>
          <w:sz w:val="28"/>
          <w:szCs w:val="28"/>
        </w:rPr>
        <w:t>, затвердженого постановою Кабінету Міністрів України від 30.03.2016 № 281; Положення про консульський збір України та Інструкції про порядок справляння сум консульського збору за вчинення консульських дій, обліку сум консульських надходжень та проведення звірок фактичних консульських надходжень в закордонних дипломатичних установах України, затверджених наказом МЗС України від 23.04.2018 № 182, зареєстрованих в Міністерстві юстиції України 18.05.2018 за № 610/32062 та 611/32063 відповідно.</w:t>
      </w:r>
    </w:p>
    <w:p w:rsidR="002B1931" w:rsidRDefault="002B1931" w:rsidP="002B1931">
      <w:pPr>
        <w:pStyle w:val="a6"/>
        <w:spacing w:before="0" w:beforeAutospacing="0" w:after="0" w:afterAutospacing="0"/>
        <w:ind w:firstLine="567"/>
        <w:jc w:val="both"/>
        <w:rPr>
          <w:sz w:val="28"/>
          <w:szCs w:val="28"/>
          <w:lang w:val="en-US"/>
        </w:rPr>
      </w:pPr>
      <w:r w:rsidRPr="002B1931">
        <w:rPr>
          <w:sz w:val="28"/>
          <w:szCs w:val="28"/>
        </w:rPr>
        <w:t>Запропоновані зміни до деяких законів України щодо надання пільг окремим категоріям громадян України, а також громадянам, які опинилися в надзвичайній ситуації, що звертаються за вчиненням консульських дій, є нормами прямої дії, та не потребуватимуть прийняття нових або внесення змін до чинних актів законодавства у зазначеній сфері.</w:t>
      </w:r>
    </w:p>
    <w:p w:rsidR="00516EEE" w:rsidRDefault="00516EEE" w:rsidP="002B1931">
      <w:pPr>
        <w:pStyle w:val="a6"/>
        <w:spacing w:before="0" w:beforeAutospacing="0" w:after="0" w:afterAutospacing="0"/>
        <w:ind w:firstLine="567"/>
        <w:jc w:val="both"/>
        <w:rPr>
          <w:sz w:val="28"/>
          <w:szCs w:val="28"/>
          <w:lang w:val="en-US"/>
        </w:rPr>
      </w:pPr>
    </w:p>
    <w:p w:rsidR="00516EEE" w:rsidRPr="00516EEE" w:rsidRDefault="00516EEE" w:rsidP="002B1931">
      <w:pPr>
        <w:pStyle w:val="a6"/>
        <w:spacing w:before="0" w:beforeAutospacing="0" w:after="0" w:afterAutospacing="0"/>
        <w:ind w:firstLine="567"/>
        <w:jc w:val="both"/>
        <w:rPr>
          <w:sz w:val="28"/>
          <w:szCs w:val="28"/>
          <w:lang w:val="en-US"/>
        </w:rPr>
      </w:pPr>
    </w:p>
    <w:p w:rsidR="00B34D25" w:rsidRPr="00A70AE8" w:rsidRDefault="00B34D25" w:rsidP="00B34D25">
      <w:pPr>
        <w:rPr>
          <w:rFonts w:ascii="Times New Roman" w:hAnsi="Times New Roman" w:cs="Times New Roman"/>
          <w:sz w:val="28"/>
          <w:szCs w:val="28"/>
          <w:lang w:val="uk-UA"/>
        </w:rPr>
      </w:pPr>
    </w:p>
    <w:p w:rsidR="00B34D25" w:rsidRPr="00640DD8" w:rsidRDefault="00B34D25" w:rsidP="00B34D25">
      <w:pPr>
        <w:shd w:val="clear" w:color="auto" w:fill="FFFFFF"/>
        <w:tabs>
          <w:tab w:val="left" w:pos="1003"/>
        </w:tabs>
        <w:jc w:val="both"/>
        <w:rPr>
          <w:rFonts w:ascii="Times New Roman" w:hAnsi="Times New Roman" w:cs="Times New Roman"/>
          <w:b/>
          <w:bCs/>
          <w:sz w:val="28"/>
          <w:szCs w:val="28"/>
        </w:rPr>
      </w:pPr>
      <w:r w:rsidRPr="00640DD8">
        <w:rPr>
          <w:rFonts w:ascii="Times New Roman" w:hAnsi="Times New Roman" w:cs="Times New Roman"/>
          <w:b/>
          <w:bCs/>
          <w:sz w:val="28"/>
          <w:szCs w:val="28"/>
        </w:rPr>
        <w:t>Народний депутат України</w:t>
      </w:r>
      <w:r>
        <w:rPr>
          <w:rFonts w:ascii="Times New Roman" w:hAnsi="Times New Roman" w:cs="Times New Roman"/>
          <w:bCs/>
          <w:sz w:val="28"/>
          <w:szCs w:val="28"/>
        </w:rPr>
        <w:tab/>
      </w:r>
      <w:r>
        <w:rPr>
          <w:rFonts w:ascii="Times New Roman" w:hAnsi="Times New Roman" w:cs="Times New Roman"/>
          <w:bCs/>
          <w:sz w:val="28"/>
          <w:szCs w:val="28"/>
        </w:rPr>
        <w:tab/>
      </w:r>
      <w:r w:rsidRPr="00640DD8">
        <w:rPr>
          <w:rFonts w:ascii="Times New Roman" w:hAnsi="Times New Roman" w:cs="Times New Roman"/>
          <w:bCs/>
          <w:sz w:val="28"/>
          <w:szCs w:val="28"/>
        </w:rPr>
        <w:tab/>
      </w:r>
      <w:r w:rsidRPr="00640DD8">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w:t>
      </w:r>
      <w:r w:rsidRPr="00640DD8">
        <w:rPr>
          <w:rFonts w:ascii="Times New Roman" w:hAnsi="Times New Roman" w:cs="Times New Roman"/>
          <w:b/>
          <w:bCs/>
          <w:sz w:val="28"/>
          <w:szCs w:val="28"/>
          <w:lang w:val="uk-UA"/>
        </w:rPr>
        <w:t>В.</w:t>
      </w:r>
      <w:r>
        <w:rPr>
          <w:rFonts w:ascii="Times New Roman" w:hAnsi="Times New Roman" w:cs="Times New Roman"/>
          <w:b/>
          <w:bCs/>
          <w:sz w:val="28"/>
          <w:szCs w:val="28"/>
        </w:rPr>
        <w:t xml:space="preserve"> </w:t>
      </w:r>
      <w:r w:rsidRPr="00640DD8">
        <w:rPr>
          <w:rFonts w:ascii="Times New Roman" w:hAnsi="Times New Roman" w:cs="Times New Roman"/>
          <w:b/>
          <w:bCs/>
          <w:sz w:val="28"/>
          <w:szCs w:val="28"/>
        </w:rPr>
        <w:t>Наливайченко</w:t>
      </w:r>
    </w:p>
    <w:p w:rsidR="00B34D25" w:rsidRPr="00901EAC" w:rsidRDefault="00B34D25" w:rsidP="00901EAC">
      <w:pPr>
        <w:shd w:val="clear" w:color="auto" w:fill="FFFFFF"/>
        <w:tabs>
          <w:tab w:val="left" w:pos="1003"/>
        </w:tabs>
        <w:ind w:firstLine="709"/>
        <w:jc w:val="both"/>
        <w:rPr>
          <w:b/>
          <w:bCs/>
          <w:sz w:val="28"/>
          <w:szCs w:val="28"/>
          <w:lang w:val="uk-UA"/>
        </w:rPr>
      </w:pP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 w:val="28"/>
          <w:szCs w:val="28"/>
        </w:rPr>
        <w:tab/>
      </w:r>
      <w:r w:rsidRPr="00640DD8">
        <w:rPr>
          <w:rFonts w:ascii="Times New Roman" w:hAnsi="Times New Roman" w:cs="Times New Roman"/>
          <w:b/>
          <w:bCs/>
          <w:szCs w:val="28"/>
        </w:rPr>
        <w:t xml:space="preserve">        </w:t>
      </w:r>
      <w:r w:rsidR="00277291">
        <w:rPr>
          <w:rFonts w:ascii="Times New Roman" w:hAnsi="Times New Roman" w:cs="Times New Roman"/>
          <w:b/>
          <w:bCs/>
          <w:szCs w:val="28"/>
          <w:lang w:val="uk-UA"/>
        </w:rPr>
        <w:t xml:space="preserve">    </w:t>
      </w:r>
      <w:r w:rsidRPr="00640DD8">
        <w:rPr>
          <w:rFonts w:ascii="Times New Roman" w:hAnsi="Times New Roman" w:cs="Times New Roman"/>
          <w:b/>
          <w:bCs/>
          <w:szCs w:val="28"/>
        </w:rPr>
        <w:t>(посв. № 164)</w:t>
      </w:r>
    </w:p>
    <w:sectPr w:rsidR="00B34D25" w:rsidRPr="00901EAC" w:rsidSect="00623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1C3A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491"/>
        </w:tabs>
        <w:ind w:firstLine="360"/>
      </w:pPr>
      <w:rPr>
        <w:rFonts w:ascii="Times New Roman" w:hAnsi="Times New Roman" w:cs="Times New Roman"/>
        <w:b/>
        <w:bCs/>
        <w:i w:val="0"/>
        <w:iCs w:val="0"/>
        <w:strike w:val="0"/>
        <w:color w:val="000000"/>
        <w:sz w:val="28"/>
        <w:szCs w:val="28"/>
        <w:u w:val="none"/>
      </w:rPr>
    </w:lvl>
    <w:lvl w:ilvl="1">
      <w:start w:val="1"/>
      <w:numFmt w:val="lowerLetter"/>
      <w:lvlText w:val="%2."/>
      <w:lvlJc w:val="left"/>
      <w:pPr>
        <w:tabs>
          <w:tab w:val="num" w:pos="491"/>
        </w:tabs>
        <w:ind w:firstLine="108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491"/>
        </w:tabs>
        <w:ind w:firstLine="19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491"/>
        </w:tabs>
        <w:ind w:firstLine="252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491"/>
        </w:tabs>
        <w:ind w:firstLine="324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91"/>
        </w:tabs>
        <w:ind w:firstLine="414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491"/>
        </w:tabs>
        <w:ind w:firstLine="468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491"/>
        </w:tabs>
        <w:ind w:firstLine="540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491"/>
        </w:tabs>
        <w:ind w:firstLine="6300"/>
      </w:pPr>
      <w:rPr>
        <w:rFonts w:ascii="Times New Roman" w:hAnsi="Times New Roman" w:cs="Times New Roman"/>
        <w:b w:val="0"/>
        <w:bCs w:val="0"/>
        <w:i w:val="0"/>
        <w:iCs w:val="0"/>
        <w:strike w:val="0"/>
        <w:color w:val="000000"/>
        <w:sz w:val="20"/>
        <w:szCs w:val="20"/>
        <w:u w:val="none"/>
      </w:rPr>
    </w:lvl>
  </w:abstractNum>
  <w:abstractNum w:abstractNumId="2" w15:restartNumberingAfterBreak="0">
    <w:nsid w:val="0CB06F47"/>
    <w:multiLevelType w:val="multilevel"/>
    <w:tmpl w:val="AE465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14609B"/>
    <w:multiLevelType w:val="hybridMultilevel"/>
    <w:tmpl w:val="49D0445A"/>
    <w:lvl w:ilvl="0" w:tplc="5F56E0B0">
      <w:start w:val="1"/>
      <w:numFmt w:val="decimal"/>
      <w:lvlText w:val="%1."/>
      <w:lvlJc w:val="left"/>
      <w:pPr>
        <w:ind w:left="696" w:hanging="360"/>
      </w:pPr>
      <w:rPr>
        <w:rFonts w:hint="default"/>
        <w:b/>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4" w15:restartNumberingAfterBreak="0">
    <w:nsid w:val="3F76419C"/>
    <w:multiLevelType w:val="hybridMultilevel"/>
    <w:tmpl w:val="346C9420"/>
    <w:lvl w:ilvl="0" w:tplc="25E88CFC">
      <w:start w:val="4"/>
      <w:numFmt w:val="decimal"/>
      <w:lvlText w:val="%1."/>
      <w:lvlJc w:val="left"/>
      <w:pPr>
        <w:ind w:left="696" w:hanging="360"/>
      </w:pPr>
      <w:rPr>
        <w:rFonts w:hint="default"/>
        <w:b/>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5" w15:restartNumberingAfterBreak="0">
    <w:nsid w:val="50B31940"/>
    <w:multiLevelType w:val="hybridMultilevel"/>
    <w:tmpl w:val="7A440306"/>
    <w:lvl w:ilvl="0" w:tplc="ED544C96">
      <w:start w:val="2"/>
      <w:numFmt w:val="decimal"/>
      <w:lvlText w:val="%1"/>
      <w:lvlJc w:val="left"/>
      <w:pPr>
        <w:ind w:left="696" w:hanging="360"/>
      </w:pPr>
      <w:rPr>
        <w:rFonts w:hint="default"/>
        <w:b/>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6" w15:restartNumberingAfterBreak="0">
    <w:nsid w:val="79BE4614"/>
    <w:multiLevelType w:val="hybridMultilevel"/>
    <w:tmpl w:val="2074682E"/>
    <w:lvl w:ilvl="0" w:tplc="F7BED80E">
      <w:start w:val="3"/>
      <w:numFmt w:val="bullet"/>
      <w:lvlText w:val="-"/>
      <w:lvlJc w:val="left"/>
      <w:pPr>
        <w:ind w:left="1068" w:hanging="360"/>
      </w:pPr>
      <w:rPr>
        <w:rFonts w:ascii="Times New Roman" w:eastAsia="Times New Roman" w:hAnsi="Times New Roman" w:hint="default"/>
        <w:b w:val="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C2CE7"/>
    <w:rsid w:val="00053196"/>
    <w:rsid w:val="00077A29"/>
    <w:rsid w:val="000A263E"/>
    <w:rsid w:val="000A3ECA"/>
    <w:rsid w:val="000A6E43"/>
    <w:rsid w:val="001060C7"/>
    <w:rsid w:val="00127385"/>
    <w:rsid w:val="00165FF3"/>
    <w:rsid w:val="00171B8B"/>
    <w:rsid w:val="00185F70"/>
    <w:rsid w:val="001C634B"/>
    <w:rsid w:val="001D4B23"/>
    <w:rsid w:val="00210EB2"/>
    <w:rsid w:val="00277291"/>
    <w:rsid w:val="00284141"/>
    <w:rsid w:val="002919C9"/>
    <w:rsid w:val="002B1931"/>
    <w:rsid w:val="002E3F12"/>
    <w:rsid w:val="002F25E7"/>
    <w:rsid w:val="00321015"/>
    <w:rsid w:val="00340F8F"/>
    <w:rsid w:val="003A2EE5"/>
    <w:rsid w:val="003E04B8"/>
    <w:rsid w:val="00400953"/>
    <w:rsid w:val="00416A39"/>
    <w:rsid w:val="00454DC1"/>
    <w:rsid w:val="0047399B"/>
    <w:rsid w:val="004B7C35"/>
    <w:rsid w:val="004F21B2"/>
    <w:rsid w:val="00516EEE"/>
    <w:rsid w:val="005555C8"/>
    <w:rsid w:val="00570B91"/>
    <w:rsid w:val="005A45D9"/>
    <w:rsid w:val="005E4FB7"/>
    <w:rsid w:val="00623CB8"/>
    <w:rsid w:val="0067109D"/>
    <w:rsid w:val="00696643"/>
    <w:rsid w:val="006A72D9"/>
    <w:rsid w:val="006C18ED"/>
    <w:rsid w:val="006C2CE7"/>
    <w:rsid w:val="006D34F4"/>
    <w:rsid w:val="006F1BE6"/>
    <w:rsid w:val="006F49EA"/>
    <w:rsid w:val="007214A9"/>
    <w:rsid w:val="0076023E"/>
    <w:rsid w:val="00772242"/>
    <w:rsid w:val="00787054"/>
    <w:rsid w:val="00791CB7"/>
    <w:rsid w:val="007D1A53"/>
    <w:rsid w:val="008260A6"/>
    <w:rsid w:val="00863C91"/>
    <w:rsid w:val="0086492C"/>
    <w:rsid w:val="0089088F"/>
    <w:rsid w:val="008A75DE"/>
    <w:rsid w:val="008C45BE"/>
    <w:rsid w:val="008C5FBA"/>
    <w:rsid w:val="008D197A"/>
    <w:rsid w:val="008F1345"/>
    <w:rsid w:val="00901EAC"/>
    <w:rsid w:val="00932E9F"/>
    <w:rsid w:val="00954966"/>
    <w:rsid w:val="0098024A"/>
    <w:rsid w:val="009A2DFC"/>
    <w:rsid w:val="009C31EA"/>
    <w:rsid w:val="009E421F"/>
    <w:rsid w:val="00A609ED"/>
    <w:rsid w:val="00A70AE8"/>
    <w:rsid w:val="00A7330A"/>
    <w:rsid w:val="00AA0E34"/>
    <w:rsid w:val="00AB3F49"/>
    <w:rsid w:val="00AD218E"/>
    <w:rsid w:val="00AF43A1"/>
    <w:rsid w:val="00B15FD2"/>
    <w:rsid w:val="00B21AFE"/>
    <w:rsid w:val="00B251A0"/>
    <w:rsid w:val="00B34D25"/>
    <w:rsid w:val="00B53B38"/>
    <w:rsid w:val="00B6446B"/>
    <w:rsid w:val="00BD7785"/>
    <w:rsid w:val="00BE2064"/>
    <w:rsid w:val="00BF027B"/>
    <w:rsid w:val="00C0010F"/>
    <w:rsid w:val="00C24BC4"/>
    <w:rsid w:val="00C51865"/>
    <w:rsid w:val="00CC036A"/>
    <w:rsid w:val="00D32651"/>
    <w:rsid w:val="00D47AE2"/>
    <w:rsid w:val="00D63ACC"/>
    <w:rsid w:val="00DA5D71"/>
    <w:rsid w:val="00DB0473"/>
    <w:rsid w:val="00DD2454"/>
    <w:rsid w:val="00DE5A2C"/>
    <w:rsid w:val="00DF69AE"/>
    <w:rsid w:val="00E0544D"/>
    <w:rsid w:val="00E211E0"/>
    <w:rsid w:val="00E26106"/>
    <w:rsid w:val="00E70D40"/>
    <w:rsid w:val="00E76F56"/>
    <w:rsid w:val="00E970A1"/>
    <w:rsid w:val="00F21781"/>
    <w:rsid w:val="00F5016B"/>
    <w:rsid w:val="00F875BE"/>
    <w:rsid w:val="00F9060D"/>
    <w:rsid w:val="00FB37E6"/>
    <w:rsid w:val="00FB59B3"/>
    <w:rsid w:val="00FD0A9A"/>
    <w:rsid w:val="00FE2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A9173-4735-40A7-B7F1-F81146F0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2CE7"/>
    <w:pPr>
      <w:spacing w:line="240" w:lineRule="auto"/>
    </w:pPr>
    <w:rPr>
      <w:rFonts w:eastAsia="Times New Roman"/>
      <w:sz w:val="24"/>
      <w:szCs w:val="24"/>
    </w:rPr>
  </w:style>
  <w:style w:type="paragraph" w:styleId="3">
    <w:name w:val="heading 3"/>
    <w:basedOn w:val="a0"/>
    <w:next w:val="a0"/>
    <w:link w:val="30"/>
    <w:uiPriority w:val="9"/>
    <w:semiHidden/>
    <w:unhideWhenUsed/>
    <w:qFormat/>
    <w:rsid w:val="00B34D25"/>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34D25"/>
    <w:rPr>
      <w:color w:val="0000FF" w:themeColor="hyperlink"/>
      <w:u w:val="single"/>
    </w:rPr>
  </w:style>
  <w:style w:type="paragraph" w:styleId="a">
    <w:name w:val="List Bullet"/>
    <w:basedOn w:val="a0"/>
    <w:uiPriority w:val="99"/>
    <w:unhideWhenUsed/>
    <w:rsid w:val="00B34D25"/>
    <w:pPr>
      <w:numPr>
        <w:numId w:val="2"/>
      </w:numPr>
      <w:contextualSpacing/>
    </w:pPr>
  </w:style>
  <w:style w:type="character" w:customStyle="1" w:styleId="30">
    <w:name w:val="Заголовок 3 Знак"/>
    <w:basedOn w:val="a1"/>
    <w:link w:val="3"/>
    <w:uiPriority w:val="9"/>
    <w:semiHidden/>
    <w:rsid w:val="00B34D25"/>
    <w:rPr>
      <w:rFonts w:asciiTheme="majorHAnsi" w:eastAsiaTheme="majorEastAsia" w:hAnsiTheme="majorHAnsi" w:cstheme="majorBidi"/>
      <w:b/>
      <w:bCs/>
      <w:color w:val="4F81BD" w:themeColor="accent1"/>
      <w:sz w:val="24"/>
      <w:szCs w:val="24"/>
    </w:rPr>
  </w:style>
  <w:style w:type="paragraph" w:styleId="a5">
    <w:name w:val="List Paragraph"/>
    <w:basedOn w:val="a0"/>
    <w:uiPriority w:val="34"/>
    <w:qFormat/>
    <w:rsid w:val="00B34D25"/>
    <w:pPr>
      <w:ind w:left="720"/>
      <w:contextualSpacing/>
    </w:pPr>
  </w:style>
  <w:style w:type="character" w:customStyle="1" w:styleId="CharStyle12">
    <w:name w:val="Char Style 12"/>
    <w:basedOn w:val="a1"/>
    <w:link w:val="Style2"/>
    <w:uiPriority w:val="99"/>
    <w:locked/>
    <w:rsid w:val="004F21B2"/>
    <w:rPr>
      <w:rFonts w:cs="Times New Roman"/>
      <w:sz w:val="27"/>
      <w:szCs w:val="27"/>
      <w:shd w:val="clear" w:color="auto" w:fill="FFFFFF"/>
    </w:rPr>
  </w:style>
  <w:style w:type="paragraph" w:customStyle="1" w:styleId="Style2">
    <w:name w:val="Style 2"/>
    <w:basedOn w:val="a0"/>
    <w:link w:val="CharStyle12"/>
    <w:uiPriority w:val="99"/>
    <w:rsid w:val="004F21B2"/>
    <w:pPr>
      <w:widowControl w:val="0"/>
      <w:shd w:val="clear" w:color="auto" w:fill="FFFFFF"/>
      <w:spacing w:before="180" w:after="60" w:line="319" w:lineRule="exact"/>
      <w:ind w:right="0"/>
      <w:jc w:val="both"/>
    </w:pPr>
    <w:rPr>
      <w:rFonts w:eastAsiaTheme="minorHAnsi" w:cs="Times New Roman"/>
      <w:sz w:val="27"/>
      <w:szCs w:val="27"/>
    </w:rPr>
  </w:style>
  <w:style w:type="paragraph" w:styleId="a6">
    <w:name w:val="Normal (Web)"/>
    <w:basedOn w:val="a0"/>
    <w:uiPriority w:val="99"/>
    <w:unhideWhenUsed/>
    <w:rsid w:val="002B1931"/>
    <w:pPr>
      <w:spacing w:before="100" w:beforeAutospacing="1" w:after="100" w:afterAutospacing="1"/>
      <w:ind w:right="0"/>
    </w:pPr>
    <w:rPr>
      <w:rFonts w:ascii="Times New Roman" w:eastAsiaTheme="minorHAnsi"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6196">
      <w:bodyDiv w:val="1"/>
      <w:marLeft w:val="0"/>
      <w:marRight w:val="0"/>
      <w:marTop w:val="0"/>
      <w:marBottom w:val="0"/>
      <w:divBdr>
        <w:top w:val="none" w:sz="0" w:space="0" w:color="auto"/>
        <w:left w:val="none" w:sz="0" w:space="0" w:color="auto"/>
        <w:bottom w:val="none" w:sz="0" w:space="0" w:color="auto"/>
        <w:right w:val="none" w:sz="0" w:space="0" w:color="auto"/>
      </w:divBdr>
    </w:div>
    <w:div w:id="1516652726">
      <w:bodyDiv w:val="1"/>
      <w:marLeft w:val="0"/>
      <w:marRight w:val="0"/>
      <w:marTop w:val="0"/>
      <w:marBottom w:val="0"/>
      <w:divBdr>
        <w:top w:val="none" w:sz="0" w:space="0" w:color="auto"/>
        <w:left w:val="none" w:sz="0" w:space="0" w:color="auto"/>
        <w:bottom w:val="none" w:sz="0" w:space="0" w:color="auto"/>
        <w:right w:val="none" w:sz="0" w:space="0" w:color="auto"/>
      </w:divBdr>
    </w:div>
    <w:div w:id="1986278299">
      <w:bodyDiv w:val="1"/>
      <w:marLeft w:val="0"/>
      <w:marRight w:val="0"/>
      <w:marTop w:val="0"/>
      <w:marBottom w:val="0"/>
      <w:divBdr>
        <w:top w:val="none" w:sz="0" w:space="0" w:color="auto"/>
        <w:left w:val="none" w:sz="0" w:space="0" w:color="auto"/>
        <w:bottom w:val="none" w:sz="0" w:space="0" w:color="auto"/>
        <w:right w:val="none" w:sz="0" w:space="0" w:color="auto"/>
      </w:divBdr>
    </w:div>
    <w:div w:id="21152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akon.rada.gov.ua/laws/show/630-2014-%25d0%2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62D1D-77FF-42F7-8A94-9838870EECF8}">
  <ds:schemaRefs>
    <ds:schemaRef ds:uri="http://schemas.microsoft.com/sharepoint/v3/contenttype/forms"/>
  </ds:schemaRefs>
</ds:datastoreItem>
</file>

<file path=customXml/itemProps2.xml><?xml version="1.0" encoding="utf-8"?>
<ds:datastoreItem xmlns:ds="http://schemas.openxmlformats.org/officeDocument/2006/customXml" ds:itemID="{0D4152E8-765B-4A76-BA40-78E95C32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41773-9F04-4063-A6CD-1F412B037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11994-AA78-46AA-8D7D-0BF78186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5619</Words>
  <Characters>3203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2021-03-12T12:29:00Z</dcterms:created>
  <dcterms:modified xsi:type="dcterms:W3CDTF">2021-03-12T12:29:00Z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