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0A2A" w14:textId="77777777" w:rsidR="00D02F55" w:rsidRPr="0034668E" w:rsidRDefault="00D02F55" w:rsidP="00D02F55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4668E">
        <w:rPr>
          <w:b/>
          <w:bCs/>
          <w:sz w:val="28"/>
          <w:szCs w:val="28"/>
          <w:lang w:val="uk-UA"/>
        </w:rPr>
        <w:t>Проект Закону України</w:t>
      </w:r>
    </w:p>
    <w:p w14:paraId="1026E991" w14:textId="220F7445" w:rsidR="00D02F55" w:rsidRPr="0034668E" w:rsidRDefault="00D02F55" w:rsidP="00D02F55">
      <w:pPr>
        <w:jc w:val="center"/>
        <w:rPr>
          <w:b/>
          <w:bCs/>
          <w:sz w:val="28"/>
          <w:szCs w:val="28"/>
          <w:lang w:val="uk-UA"/>
        </w:rPr>
      </w:pPr>
      <w:r w:rsidRPr="0034668E">
        <w:rPr>
          <w:b/>
          <w:bCs/>
          <w:sz w:val="28"/>
          <w:szCs w:val="28"/>
          <w:lang w:val="uk-UA"/>
        </w:rPr>
        <w:t>«</w:t>
      </w:r>
      <w:r w:rsidR="007902B5" w:rsidRPr="007902B5">
        <w:rPr>
          <w:b/>
          <w:bCs/>
          <w:sz w:val="28"/>
          <w:szCs w:val="28"/>
          <w:lang w:val="uk-UA"/>
        </w:rPr>
        <w:t>Про внесення змін до деяких законодавчих актів України щодо дерегуляції розробки родовищ корисних копалин, переробки мінеральної сировини та проведення гірничих робіт</w:t>
      </w:r>
      <w:r w:rsidR="00097752">
        <w:rPr>
          <w:b/>
          <w:bCs/>
          <w:sz w:val="28"/>
          <w:szCs w:val="28"/>
          <w:lang w:val="uk-UA"/>
        </w:rPr>
        <w:t>»</w:t>
      </w:r>
    </w:p>
    <w:p w14:paraId="3FDB2044" w14:textId="77777777" w:rsidR="00D02F55" w:rsidRPr="0034668E" w:rsidRDefault="00D02F55" w:rsidP="00D02F55">
      <w:pPr>
        <w:rPr>
          <w:sz w:val="28"/>
          <w:szCs w:val="28"/>
          <w:lang w:val="uk-UA"/>
        </w:rPr>
      </w:pPr>
    </w:p>
    <w:tbl>
      <w:tblPr>
        <w:tblW w:w="5110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427"/>
        <w:gridCol w:w="7457"/>
      </w:tblGrid>
      <w:tr w:rsidR="00D02F55" w:rsidRPr="0034668E" w14:paraId="2535C45D" w14:textId="77777777" w:rsidTr="00043542">
        <w:trPr>
          <w:trHeight w:val="141"/>
        </w:trPr>
        <w:tc>
          <w:tcPr>
            <w:tcW w:w="5000" w:type="pct"/>
            <w:gridSpan w:val="2"/>
          </w:tcPr>
          <w:p w14:paraId="54719A35" w14:textId="7061A31F" w:rsidR="00D02F55" w:rsidRPr="0034668E" w:rsidRDefault="00D02F55" w:rsidP="00043542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4668E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надра</w:t>
            </w:r>
          </w:p>
        </w:tc>
      </w:tr>
      <w:tr w:rsidR="0034668E" w:rsidRPr="0034668E" w14:paraId="38750BC0" w14:textId="77777777" w:rsidTr="00043542">
        <w:trPr>
          <w:trHeight w:val="567"/>
        </w:trPr>
        <w:tc>
          <w:tcPr>
            <w:tcW w:w="2495" w:type="pct"/>
          </w:tcPr>
          <w:p w14:paraId="4421C453" w14:textId="1ADA2C9C" w:rsidR="0034668E" w:rsidRDefault="0034668E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34668E">
              <w:rPr>
                <w:b/>
                <w:sz w:val="28"/>
                <w:szCs w:val="28"/>
                <w:lang w:val="uk-UA"/>
              </w:rPr>
              <w:t>Стаття 51.</w:t>
            </w:r>
            <w:r w:rsidRPr="0034668E">
              <w:rPr>
                <w:sz w:val="28"/>
                <w:szCs w:val="28"/>
                <w:lang w:val="uk-UA"/>
              </w:rPr>
              <w:t xml:space="preserve"> Порядок розробки родовищ корисних копалин та переробки мінеральної сировини</w:t>
            </w:r>
          </w:p>
          <w:p w14:paraId="3EEE122C" w14:textId="77777777" w:rsidR="00FF1D73" w:rsidRPr="0034668E" w:rsidRDefault="00FF1D73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</w:p>
          <w:p w14:paraId="5E758075" w14:textId="7DCFB1D0" w:rsidR="0034668E" w:rsidRDefault="0034668E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34668E">
              <w:rPr>
                <w:sz w:val="28"/>
                <w:szCs w:val="28"/>
                <w:lang w:val="uk-UA"/>
              </w:rPr>
              <w:t>Розробка родовищ твердих, рідких і газоподібних корисних копалин та переробка мінеральної сировини провадяться згідно з затвердженими проектами та планами робіт, правилами технічної експлуатації та охорони надр.</w:t>
            </w:r>
          </w:p>
          <w:p w14:paraId="23E57EC3" w14:textId="6964CAFE" w:rsidR="00FF1D73" w:rsidRDefault="00FF1D73" w:rsidP="0039782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14:paraId="5ACC6942" w14:textId="77777777" w:rsidR="007E1B62" w:rsidRPr="0034668E" w:rsidRDefault="007E1B62" w:rsidP="00397824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  <w:p w14:paraId="5CCDF00E" w14:textId="363CBE9B" w:rsidR="0034668E" w:rsidRPr="00974FCF" w:rsidRDefault="0034668E" w:rsidP="0034668E">
            <w:pPr>
              <w:shd w:val="clear" w:color="auto" w:fill="FFFFFF"/>
              <w:ind w:firstLine="4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74FCF">
              <w:rPr>
                <w:b/>
                <w:bCs/>
                <w:sz w:val="28"/>
                <w:szCs w:val="28"/>
                <w:lang w:val="uk-UA"/>
              </w:rPr>
              <w:t>Правила технічної експлуатації, проекти і плани розробки родовищ корисних копалин та переробки мінеральної сировини погоджуються користувачами надр з центральним органом виконавчої влади, що реалізує державну політику у сфері геологічного вивчення та раціонального використання надр, та центральним органом виконавчої влади, що реалізує державну політику у сфері охорони праці, в частині додержання вимог законодавства про надра.</w:t>
            </w:r>
          </w:p>
          <w:p w14:paraId="536909E3" w14:textId="77777777" w:rsidR="00FF1D73" w:rsidRPr="00974FCF" w:rsidRDefault="00FF1D73" w:rsidP="0034668E">
            <w:pPr>
              <w:shd w:val="clear" w:color="auto" w:fill="FFFFFF"/>
              <w:ind w:firstLine="4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710E7D15" w14:textId="570CC8A1" w:rsidR="002E7791" w:rsidRPr="002E7791" w:rsidRDefault="0034668E" w:rsidP="00974FCF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974FCF">
              <w:rPr>
                <w:b/>
                <w:bCs/>
                <w:sz w:val="28"/>
                <w:szCs w:val="28"/>
                <w:lang w:val="uk-UA"/>
              </w:rPr>
              <w:t xml:space="preserve">Користування надрами на підставі спеціального дозволу на геологічне вивчення </w:t>
            </w:r>
            <w:proofErr w:type="spellStart"/>
            <w:r w:rsidRPr="00974FCF">
              <w:rPr>
                <w:b/>
                <w:bCs/>
                <w:sz w:val="28"/>
                <w:szCs w:val="28"/>
                <w:lang w:val="uk-UA"/>
              </w:rPr>
              <w:t>бурштиноносних</w:t>
            </w:r>
            <w:proofErr w:type="spellEnd"/>
            <w:r w:rsidRPr="00974FCF">
              <w:rPr>
                <w:b/>
                <w:bCs/>
                <w:sz w:val="28"/>
                <w:szCs w:val="28"/>
                <w:lang w:val="uk-UA"/>
              </w:rPr>
              <w:t xml:space="preserve"> надр, у тому числі дослідно-промислової розробки родовищ з подальшим видобуванням бурштину (промисловою розробкою родовищ), на ділянках </w:t>
            </w:r>
            <w:proofErr w:type="spellStart"/>
            <w:r w:rsidRPr="00974FCF">
              <w:rPr>
                <w:b/>
                <w:bCs/>
                <w:sz w:val="28"/>
                <w:szCs w:val="28"/>
                <w:lang w:val="uk-UA"/>
              </w:rPr>
              <w:t>бурштиноносних</w:t>
            </w:r>
            <w:proofErr w:type="spellEnd"/>
            <w:r w:rsidRPr="00974FCF">
              <w:rPr>
                <w:b/>
                <w:bCs/>
                <w:sz w:val="28"/>
                <w:szCs w:val="28"/>
                <w:lang w:val="uk-UA"/>
              </w:rPr>
              <w:t xml:space="preserve"> надр, що розміщені на порушених земельних ділянках, здійснюється на підставі типових проектів та/або </w:t>
            </w:r>
            <w:r w:rsidRPr="00974FCF">
              <w:rPr>
                <w:b/>
                <w:bCs/>
                <w:sz w:val="28"/>
                <w:szCs w:val="28"/>
                <w:lang w:val="uk-UA"/>
              </w:rPr>
              <w:lastRenderedPageBreak/>
              <w:t>технологічних схем у порядку, встановленому Кабінетом Міністрів України.</w:t>
            </w:r>
          </w:p>
        </w:tc>
        <w:tc>
          <w:tcPr>
            <w:tcW w:w="2505" w:type="pct"/>
          </w:tcPr>
          <w:p w14:paraId="1F93EDF6" w14:textId="4E3BEFFC" w:rsidR="0034668E" w:rsidRDefault="0034668E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34668E">
              <w:rPr>
                <w:b/>
                <w:sz w:val="28"/>
                <w:szCs w:val="28"/>
                <w:lang w:val="uk-UA"/>
              </w:rPr>
              <w:lastRenderedPageBreak/>
              <w:t>Стаття 51.</w:t>
            </w:r>
            <w:r w:rsidRPr="0034668E">
              <w:rPr>
                <w:sz w:val="28"/>
                <w:szCs w:val="28"/>
                <w:lang w:val="uk-UA"/>
              </w:rPr>
              <w:t xml:space="preserve"> Порядок розробки родовищ корисних копалин та переробки мінеральної сировини</w:t>
            </w:r>
          </w:p>
          <w:p w14:paraId="6C7273C1" w14:textId="77777777" w:rsidR="00FF1D73" w:rsidRPr="0034668E" w:rsidRDefault="00FF1D73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</w:p>
          <w:p w14:paraId="091CBC6E" w14:textId="77777777" w:rsidR="0034668E" w:rsidRPr="0034668E" w:rsidRDefault="0034668E" w:rsidP="0034668E">
            <w:pPr>
              <w:shd w:val="clear" w:color="auto" w:fill="FFFFFF"/>
              <w:ind w:firstLine="460"/>
              <w:jc w:val="both"/>
              <w:rPr>
                <w:sz w:val="28"/>
                <w:szCs w:val="28"/>
                <w:lang w:val="uk-UA"/>
              </w:rPr>
            </w:pPr>
            <w:r w:rsidRPr="0034668E">
              <w:rPr>
                <w:sz w:val="28"/>
                <w:szCs w:val="28"/>
                <w:lang w:val="uk-UA"/>
              </w:rPr>
              <w:t xml:space="preserve">Розробка родовищ твердих, рідких і газоподібних корисних копалин та переробка мінеральної сировини провадяться згідно з затвердженими </w:t>
            </w:r>
            <w:r w:rsidRPr="0034668E">
              <w:rPr>
                <w:b/>
                <w:sz w:val="28"/>
                <w:szCs w:val="28"/>
                <w:lang w:val="uk-UA"/>
              </w:rPr>
              <w:t>надрокористувачем</w:t>
            </w:r>
            <w:r w:rsidRPr="0034668E">
              <w:rPr>
                <w:sz w:val="28"/>
                <w:szCs w:val="28"/>
                <w:lang w:val="uk-UA"/>
              </w:rPr>
              <w:t xml:space="preserve"> проектами та планами робіт, правилами технічної експлуатації та охорони надр.</w:t>
            </w:r>
          </w:p>
          <w:p w14:paraId="062954C7" w14:textId="77777777" w:rsidR="0034668E" w:rsidRDefault="0034668E" w:rsidP="0034668E">
            <w:pPr>
              <w:shd w:val="clear" w:color="auto" w:fill="FFFFFF"/>
              <w:ind w:firstLine="720"/>
              <w:jc w:val="both"/>
              <w:rPr>
                <w:strike/>
                <w:sz w:val="28"/>
                <w:szCs w:val="28"/>
                <w:lang w:val="uk-UA"/>
              </w:rPr>
            </w:pPr>
          </w:p>
          <w:p w14:paraId="3B1CBB02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4C9AA417" w14:textId="77777777" w:rsidR="004A4C10" w:rsidRDefault="004A4C10" w:rsidP="00FF1D73">
            <w:pPr>
              <w:shd w:val="clear" w:color="auto" w:fill="FFFFFF"/>
              <w:ind w:firstLine="4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04EC4737" w14:textId="1CC85612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1D73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  <w:p w14:paraId="572646E1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D4322F4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C0B586B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1F95D5E1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4A50C8F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2F1CFF42" w14:textId="77777777" w:rsidR="00FF1D73" w:rsidRDefault="00FF1D73" w:rsidP="00FF1D73">
            <w:pPr>
              <w:shd w:val="clear" w:color="auto" w:fill="FFFFFF"/>
              <w:ind w:firstLine="46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F7C9471" w14:textId="77777777" w:rsidR="004A4C10" w:rsidRDefault="004A4C10" w:rsidP="004A4C10">
            <w:pPr>
              <w:shd w:val="clear" w:color="auto" w:fill="FFFFFF"/>
              <w:rPr>
                <w:b/>
                <w:bCs/>
                <w:sz w:val="28"/>
                <w:szCs w:val="28"/>
                <w:lang w:val="uk-UA"/>
              </w:rPr>
            </w:pPr>
          </w:p>
          <w:p w14:paraId="1BAB7C32" w14:textId="77777777" w:rsidR="004A4C10" w:rsidRDefault="004A4C10" w:rsidP="00FF1D73">
            <w:pPr>
              <w:shd w:val="clear" w:color="auto" w:fill="FFFFFF"/>
              <w:ind w:firstLine="46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6E25BA9D" w14:textId="29577836" w:rsidR="00FF1D73" w:rsidRPr="00FF1D73" w:rsidRDefault="00FF1D73" w:rsidP="00FF1D73">
            <w:pPr>
              <w:shd w:val="clear" w:color="auto" w:fill="FFFFFF"/>
              <w:ind w:firstLine="4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F1D73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  <w:tr w:rsidR="00BA52C9" w:rsidRPr="0034668E" w14:paraId="73B8565B" w14:textId="77777777" w:rsidTr="00E436CB">
        <w:trPr>
          <w:trHeight w:val="413"/>
        </w:trPr>
        <w:tc>
          <w:tcPr>
            <w:tcW w:w="5000" w:type="pct"/>
            <w:gridSpan w:val="2"/>
          </w:tcPr>
          <w:p w14:paraId="39D9CDC8" w14:textId="4B208FC5" w:rsidR="00BA52C9" w:rsidRPr="0034668E" w:rsidRDefault="00BA52C9" w:rsidP="005558FB">
            <w:pPr>
              <w:shd w:val="clear" w:color="auto" w:fill="FFFFFF"/>
              <w:ind w:firstLine="46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Гірничий закон України</w:t>
            </w:r>
          </w:p>
        </w:tc>
      </w:tr>
      <w:tr w:rsidR="00BA52C9" w:rsidRPr="0034668E" w14:paraId="6E676F89" w14:textId="77777777" w:rsidTr="002E7791">
        <w:trPr>
          <w:trHeight w:val="55"/>
        </w:trPr>
        <w:tc>
          <w:tcPr>
            <w:tcW w:w="2495" w:type="pct"/>
          </w:tcPr>
          <w:p w14:paraId="58572CF1" w14:textId="77777777" w:rsidR="00580147" w:rsidRPr="00580147" w:rsidRDefault="00580147" w:rsidP="00580147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/>
                <w:sz w:val="28"/>
                <w:szCs w:val="28"/>
                <w:lang w:val="uk-UA"/>
              </w:rPr>
              <w:t>Стаття 19.</w:t>
            </w:r>
            <w:r w:rsidRPr="00580147">
              <w:rPr>
                <w:bCs/>
                <w:sz w:val="28"/>
                <w:szCs w:val="28"/>
                <w:lang w:val="uk-UA"/>
              </w:rPr>
              <w:t xml:space="preserve"> Порядок проведення гірничих робіт</w:t>
            </w:r>
          </w:p>
          <w:p w14:paraId="236403F3" w14:textId="77777777" w:rsidR="00580147" w:rsidRPr="00580147" w:rsidRDefault="00580147" w:rsidP="00580147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A34EF39" w14:textId="71675F37" w:rsidR="00580147" w:rsidRPr="00E53FD5" w:rsidRDefault="00397824" w:rsidP="00397824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</w:rPr>
            </w:pPr>
            <w:r w:rsidRPr="00E53FD5">
              <w:rPr>
                <w:bCs/>
                <w:sz w:val="28"/>
                <w:szCs w:val="28"/>
              </w:rPr>
              <w:t>&lt;…&gt;</w:t>
            </w:r>
          </w:p>
          <w:p w14:paraId="5CF76690" w14:textId="589471CA" w:rsidR="00397824" w:rsidRPr="00580147" w:rsidRDefault="00580147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580147">
              <w:rPr>
                <w:bCs/>
                <w:sz w:val="28"/>
                <w:szCs w:val="28"/>
                <w:lang w:val="uk-UA"/>
              </w:rPr>
              <w:t>Проекти та паспорти доводяться до відома працівників гірничих підприємств у порядку, передбаченому правилами безпеки.</w:t>
            </w:r>
          </w:p>
          <w:p w14:paraId="1FAB3A5B" w14:textId="56A0725B" w:rsidR="00FF4806" w:rsidRPr="00397824" w:rsidRDefault="00580147" w:rsidP="00E436CB">
            <w:pPr>
              <w:shd w:val="clear" w:color="auto" w:fill="FFFFFF"/>
              <w:ind w:firstLine="460"/>
              <w:jc w:val="both"/>
              <w:rPr>
                <w:b/>
                <w:sz w:val="28"/>
                <w:szCs w:val="28"/>
                <w:lang w:val="uk-UA"/>
              </w:rPr>
            </w:pPr>
            <w:r w:rsidRPr="00397824">
              <w:rPr>
                <w:b/>
                <w:sz w:val="28"/>
                <w:szCs w:val="28"/>
                <w:lang w:val="uk-UA"/>
              </w:rPr>
              <w:t>План розвитку гірничих робіт підприємства щорічно розглядається та погоджується з органами гірничого нагляду.</w:t>
            </w:r>
          </w:p>
        </w:tc>
        <w:tc>
          <w:tcPr>
            <w:tcW w:w="2505" w:type="pct"/>
          </w:tcPr>
          <w:p w14:paraId="376E871D" w14:textId="77777777" w:rsidR="00397824" w:rsidRPr="00580147" w:rsidRDefault="00397824" w:rsidP="00397824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/>
                <w:sz w:val="28"/>
                <w:szCs w:val="28"/>
                <w:lang w:val="uk-UA"/>
              </w:rPr>
              <w:t>Стаття 19.</w:t>
            </w:r>
            <w:r w:rsidRPr="00580147">
              <w:rPr>
                <w:bCs/>
                <w:sz w:val="28"/>
                <w:szCs w:val="28"/>
                <w:lang w:val="uk-UA"/>
              </w:rPr>
              <w:t xml:space="preserve"> Порядок проведення гірничих робіт</w:t>
            </w:r>
          </w:p>
          <w:p w14:paraId="26423B0E" w14:textId="77777777" w:rsidR="00397824" w:rsidRPr="00580147" w:rsidRDefault="00397824" w:rsidP="00397824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5E0418E" w14:textId="77777777" w:rsidR="00397824" w:rsidRPr="00397824" w:rsidRDefault="00397824" w:rsidP="00397824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</w:rPr>
            </w:pPr>
            <w:r w:rsidRPr="00397824">
              <w:rPr>
                <w:bCs/>
                <w:sz w:val="28"/>
                <w:szCs w:val="28"/>
              </w:rPr>
              <w:t>&lt;…&gt;</w:t>
            </w:r>
          </w:p>
          <w:p w14:paraId="646989D0" w14:textId="51DE4240" w:rsidR="00BA52C9" w:rsidRPr="00E436CB" w:rsidRDefault="00397824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580147">
              <w:rPr>
                <w:bCs/>
                <w:sz w:val="28"/>
                <w:szCs w:val="28"/>
                <w:lang w:val="uk-UA"/>
              </w:rPr>
              <w:t>Проекти та паспорти доводяться до відома працівників гірничих підприємств у порядку, передбаченому правилами безпеки.</w:t>
            </w:r>
          </w:p>
          <w:p w14:paraId="7BB13963" w14:textId="77777777" w:rsidR="009E3585" w:rsidRDefault="009E3585" w:rsidP="0034668E">
            <w:pPr>
              <w:shd w:val="clear" w:color="auto" w:fill="FFFFFF"/>
              <w:ind w:firstLine="46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06EA87C6" w14:textId="58F3888B" w:rsidR="009E3585" w:rsidRPr="0034668E" w:rsidRDefault="009E3585" w:rsidP="009E3585">
            <w:pPr>
              <w:shd w:val="clear" w:color="auto" w:fill="FFFFFF"/>
              <w:ind w:firstLine="460"/>
              <w:jc w:val="center"/>
              <w:rPr>
                <w:b/>
                <w:sz w:val="28"/>
                <w:szCs w:val="28"/>
                <w:lang w:val="uk-UA"/>
              </w:rPr>
            </w:pPr>
            <w:r w:rsidRPr="00FF1D73">
              <w:rPr>
                <w:b/>
                <w:bCs/>
                <w:sz w:val="28"/>
                <w:szCs w:val="28"/>
                <w:lang w:val="uk-UA"/>
              </w:rPr>
              <w:t>ВИКЛЮЧИТИ</w:t>
            </w:r>
          </w:p>
        </w:tc>
      </w:tr>
      <w:tr w:rsidR="00E436CB" w:rsidRPr="0034668E" w14:paraId="219D11C6" w14:textId="77777777" w:rsidTr="002E7791">
        <w:trPr>
          <w:trHeight w:val="55"/>
        </w:trPr>
        <w:tc>
          <w:tcPr>
            <w:tcW w:w="2495" w:type="pct"/>
          </w:tcPr>
          <w:p w14:paraId="2B53EAFE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/>
                <w:bCs/>
                <w:sz w:val="28"/>
                <w:szCs w:val="28"/>
                <w:lang w:val="uk-UA"/>
              </w:rPr>
              <w:t>Стаття 24.</w:t>
            </w:r>
            <w:r w:rsidRPr="00E436CB">
              <w:rPr>
                <w:bCs/>
                <w:sz w:val="28"/>
                <w:szCs w:val="28"/>
                <w:lang w:val="uk-UA"/>
              </w:rPr>
              <w:t> Документи, що дають право на проведення гірничих робіт</w:t>
            </w:r>
          </w:p>
          <w:p w14:paraId="4D6ACBF8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1" w:name="n157"/>
            <w:bookmarkEnd w:id="1"/>
            <w:r w:rsidRPr="00E436CB">
              <w:rPr>
                <w:bCs/>
                <w:sz w:val="28"/>
                <w:szCs w:val="28"/>
                <w:lang w:val="uk-UA"/>
              </w:rPr>
              <w:t>Гірниче підприємство при проведенні гірничих робіт повинно мати:</w:t>
            </w:r>
          </w:p>
          <w:p w14:paraId="151FBDB1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2" w:name="n158"/>
            <w:bookmarkEnd w:id="2"/>
            <w:r w:rsidRPr="00E436CB">
              <w:rPr>
                <w:bCs/>
                <w:sz w:val="28"/>
                <w:szCs w:val="28"/>
                <w:lang w:val="uk-UA"/>
              </w:rPr>
              <w:t>спеціальний дозвіл на користування надрами;</w:t>
            </w:r>
          </w:p>
          <w:p w14:paraId="0835D427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3" w:name="n159"/>
            <w:bookmarkStart w:id="4" w:name="n160"/>
            <w:bookmarkStart w:id="5" w:name="n161"/>
            <w:bookmarkEnd w:id="3"/>
            <w:bookmarkEnd w:id="4"/>
            <w:bookmarkEnd w:id="5"/>
            <w:r w:rsidRPr="00E436CB">
              <w:rPr>
                <w:bCs/>
                <w:sz w:val="28"/>
                <w:szCs w:val="28"/>
                <w:lang w:val="uk-UA"/>
              </w:rPr>
              <w:t>акт про надання гірничого відводу (крім користувачів нафтогазоносними та бурштиноносними надрами);</w:t>
            </w:r>
          </w:p>
          <w:p w14:paraId="0EAD0EB6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6" w:name="n378"/>
            <w:bookmarkStart w:id="7" w:name="n162"/>
            <w:bookmarkEnd w:id="6"/>
            <w:bookmarkEnd w:id="7"/>
            <w:r w:rsidRPr="00E436CB">
              <w:rPr>
                <w:bCs/>
                <w:sz w:val="28"/>
                <w:szCs w:val="28"/>
                <w:lang w:val="uk-UA"/>
              </w:rPr>
              <w:t xml:space="preserve">технічний проект, затверджений </w:t>
            </w:r>
            <w:r w:rsidRPr="00E436CB">
              <w:rPr>
                <w:b/>
                <w:sz w:val="28"/>
                <w:szCs w:val="28"/>
                <w:lang w:val="uk-UA"/>
              </w:rPr>
              <w:t>і погоджений</w:t>
            </w:r>
            <w:r w:rsidRPr="00E436CB">
              <w:rPr>
                <w:bCs/>
                <w:sz w:val="28"/>
                <w:szCs w:val="28"/>
                <w:lang w:val="uk-UA"/>
              </w:rPr>
              <w:t xml:space="preserve"> у встановленому порядку;</w:t>
            </w:r>
          </w:p>
          <w:p w14:paraId="201A06FA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8" w:name="n163"/>
            <w:bookmarkEnd w:id="8"/>
            <w:r w:rsidRPr="00E436CB">
              <w:rPr>
                <w:bCs/>
                <w:sz w:val="28"/>
                <w:szCs w:val="28"/>
                <w:lang w:val="uk-UA"/>
              </w:rPr>
              <w:t>геолого-маркшейдерську, технічну та обліково-контрольну документацію (календарні плани розвитку гірничих робіт, проекти, паспорти, схеми).</w:t>
            </w:r>
          </w:p>
          <w:p w14:paraId="218A7AC4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bookmarkStart w:id="9" w:name="n164"/>
            <w:bookmarkEnd w:id="9"/>
            <w:r w:rsidRPr="00E436CB">
              <w:rPr>
                <w:bCs/>
                <w:sz w:val="28"/>
                <w:szCs w:val="28"/>
                <w:lang w:val="uk-UA"/>
              </w:rPr>
              <w:t>Вся технічна документація повинна вестися відповідно до вимог правил безпеки, правил технічної експлуатації, єдиних правил безпеки при підривних роботах та інших нормативно-правових актів.</w:t>
            </w:r>
          </w:p>
          <w:p w14:paraId="637C22A3" w14:textId="77777777" w:rsidR="00E436CB" w:rsidRPr="00E436CB" w:rsidRDefault="00E436CB" w:rsidP="00580147">
            <w:pPr>
              <w:shd w:val="clear" w:color="auto" w:fill="FFFFFF"/>
              <w:ind w:firstLine="4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5" w:type="pct"/>
          </w:tcPr>
          <w:p w14:paraId="4C207B1D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/>
                <w:bCs/>
                <w:sz w:val="28"/>
                <w:szCs w:val="28"/>
                <w:lang w:val="uk-UA"/>
              </w:rPr>
              <w:t>Стаття 24.</w:t>
            </w:r>
            <w:r w:rsidRPr="00E436CB">
              <w:rPr>
                <w:bCs/>
                <w:sz w:val="28"/>
                <w:szCs w:val="28"/>
                <w:lang w:val="uk-UA"/>
              </w:rPr>
              <w:t> Документи, що дають право на проведення гірничих робіт</w:t>
            </w:r>
          </w:p>
          <w:p w14:paraId="151FED84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>Гірниче підприємство при проведенні гірничих робіт повинно мати:</w:t>
            </w:r>
          </w:p>
          <w:p w14:paraId="04E79C9A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>спеціальний дозвіл на користування надрами;</w:t>
            </w:r>
          </w:p>
          <w:p w14:paraId="004A6354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 xml:space="preserve">акт про надання гірничого відводу (крім користувачів нафтогазоносними та </w:t>
            </w:r>
            <w:proofErr w:type="spellStart"/>
            <w:r w:rsidRPr="00E436CB">
              <w:rPr>
                <w:bCs/>
                <w:sz w:val="28"/>
                <w:szCs w:val="28"/>
                <w:lang w:val="uk-UA"/>
              </w:rPr>
              <w:t>бурштиноносними</w:t>
            </w:r>
            <w:proofErr w:type="spellEnd"/>
            <w:r w:rsidRPr="00E436CB">
              <w:rPr>
                <w:bCs/>
                <w:sz w:val="28"/>
                <w:szCs w:val="28"/>
                <w:lang w:val="uk-UA"/>
              </w:rPr>
              <w:t xml:space="preserve"> надрами);</w:t>
            </w:r>
          </w:p>
          <w:p w14:paraId="40D137DA" w14:textId="7E2D9EFD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>технічний проект, затверджений у встановленому порядку;</w:t>
            </w:r>
          </w:p>
          <w:p w14:paraId="355871BA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>геолого-маркшейдерську, технічну та обліково-контрольну документацію (календарні плани розвитку гірничих робіт, проекти, паспорти, схеми).</w:t>
            </w:r>
          </w:p>
          <w:p w14:paraId="1D0FB208" w14:textId="77777777" w:rsidR="00E436CB" w:rsidRPr="00E436CB" w:rsidRDefault="00E436CB" w:rsidP="00E436CB">
            <w:pPr>
              <w:shd w:val="clear" w:color="auto" w:fill="FFFFFF"/>
              <w:ind w:firstLine="460"/>
              <w:jc w:val="both"/>
              <w:rPr>
                <w:bCs/>
                <w:sz w:val="28"/>
                <w:szCs w:val="28"/>
                <w:lang w:val="uk-UA"/>
              </w:rPr>
            </w:pPr>
            <w:r w:rsidRPr="00E436CB">
              <w:rPr>
                <w:bCs/>
                <w:sz w:val="28"/>
                <w:szCs w:val="28"/>
                <w:lang w:val="uk-UA"/>
              </w:rPr>
              <w:t>Вся технічна документація повинна вестися відповідно до вимог правил безпеки, правил технічної експлуатації, єдиних правил безпеки при підривних роботах та інших нормативно-правових актів.</w:t>
            </w:r>
          </w:p>
          <w:p w14:paraId="2C49ADCB" w14:textId="77777777" w:rsidR="00E436CB" w:rsidRPr="00E436CB" w:rsidRDefault="00E436CB" w:rsidP="00397824">
            <w:pPr>
              <w:shd w:val="clear" w:color="auto" w:fill="FFFFFF"/>
              <w:ind w:firstLine="4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EC30D0D" w14:textId="6EEEF3E6" w:rsidR="007B6DD4" w:rsidRDefault="007B6DD4">
      <w:pPr>
        <w:rPr>
          <w:sz w:val="28"/>
          <w:szCs w:val="28"/>
          <w:lang w:val="uk-UA"/>
        </w:rPr>
      </w:pPr>
    </w:p>
    <w:p w14:paraId="23B4B3A7" w14:textId="2FA45CB0" w:rsidR="007E1B62" w:rsidRPr="007E1B62" w:rsidRDefault="007E1B62" w:rsidP="007E1B62">
      <w:pPr>
        <w:jc w:val="both"/>
        <w:rPr>
          <w:b/>
          <w:bCs/>
          <w:sz w:val="28"/>
          <w:szCs w:val="28"/>
          <w:lang w:val="uk-UA"/>
        </w:rPr>
      </w:pPr>
      <w:r w:rsidRPr="007E1B62">
        <w:rPr>
          <w:b/>
          <w:bCs/>
          <w:sz w:val="28"/>
          <w:szCs w:val="28"/>
          <w:lang w:val="uk-UA"/>
        </w:rPr>
        <w:t xml:space="preserve">Народні депутати України </w:t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 w:rsidRPr="007E1B62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 w:rsidRPr="007E1B62">
        <w:rPr>
          <w:b/>
          <w:bCs/>
          <w:sz w:val="28"/>
          <w:szCs w:val="28"/>
          <w:lang w:val="uk-UA"/>
        </w:rPr>
        <w:t>Василенко Л.В. (224) та інші</w:t>
      </w:r>
    </w:p>
    <w:sectPr w:rsidR="007E1B62" w:rsidRPr="007E1B62" w:rsidSect="006500D5">
      <w:pgSz w:w="16838" w:h="11906" w:orient="landscape"/>
      <w:pgMar w:top="7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7"/>
    <w:rsid w:val="00097752"/>
    <w:rsid w:val="00162D58"/>
    <w:rsid w:val="002E7791"/>
    <w:rsid w:val="003273A5"/>
    <w:rsid w:val="0034668E"/>
    <w:rsid w:val="0034719C"/>
    <w:rsid w:val="00364489"/>
    <w:rsid w:val="00397824"/>
    <w:rsid w:val="004A4C10"/>
    <w:rsid w:val="005558FB"/>
    <w:rsid w:val="00580147"/>
    <w:rsid w:val="00584D53"/>
    <w:rsid w:val="007902B5"/>
    <w:rsid w:val="007B6DD4"/>
    <w:rsid w:val="007E1B62"/>
    <w:rsid w:val="0092025E"/>
    <w:rsid w:val="00974FCF"/>
    <w:rsid w:val="009E3585"/>
    <w:rsid w:val="00BA52C9"/>
    <w:rsid w:val="00D02F55"/>
    <w:rsid w:val="00D80997"/>
    <w:rsid w:val="00E436CB"/>
    <w:rsid w:val="00E53FD5"/>
    <w:rsid w:val="00ED4BB2"/>
    <w:rsid w:val="00F6769C"/>
    <w:rsid w:val="00FF1D73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FB5"/>
  <w15:chartTrackingRefBased/>
  <w15:docId w15:val="{8E80351D-A277-4B66-8C08-475D0408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D02F55"/>
  </w:style>
  <w:style w:type="paragraph" w:customStyle="1" w:styleId="rvps2">
    <w:name w:val="rvps2"/>
    <w:basedOn w:val="a"/>
    <w:rsid w:val="00E436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6CB"/>
  </w:style>
  <w:style w:type="character" w:customStyle="1" w:styleId="rvts46">
    <w:name w:val="rvts46"/>
    <w:basedOn w:val="a0"/>
    <w:rsid w:val="00E436CB"/>
  </w:style>
  <w:style w:type="character" w:styleId="a3">
    <w:name w:val="Hyperlink"/>
    <w:basedOn w:val="a0"/>
    <w:uiPriority w:val="99"/>
    <w:semiHidden/>
    <w:unhideWhenUsed/>
    <w:rsid w:val="00E43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89FB6-C08A-4903-9653-16D72744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01D4D-519D-4834-B3A2-67F09CAEB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937B5-CDD7-48BC-B334-D6E7687FB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2021-02-23T10:03:00Z</dcterms:created>
  <dcterms:modified xsi:type="dcterms:W3CDTF">2021-02-23T10:03:00Z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