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E836" w14:textId="77777777" w:rsidR="00B766E4" w:rsidRPr="0022595E" w:rsidRDefault="00B766E4" w:rsidP="00B766E4">
      <w:pPr>
        <w:spacing w:after="60"/>
        <w:ind w:firstLine="567"/>
        <w:jc w:val="center"/>
        <w:outlineLvl w:val="3"/>
        <w:rPr>
          <w:b/>
          <w:bCs/>
        </w:rPr>
      </w:pPr>
      <w:r w:rsidRPr="0022595E">
        <w:rPr>
          <w:b/>
          <w:bCs/>
        </w:rPr>
        <w:t>ВИСНОВОК</w:t>
      </w:r>
    </w:p>
    <w:p w14:paraId="545824ED" w14:textId="77777777" w:rsidR="007242C0" w:rsidRDefault="00B766E4" w:rsidP="007242C0">
      <w:pPr>
        <w:ind w:firstLine="567"/>
        <w:jc w:val="center"/>
        <w:outlineLvl w:val="4"/>
        <w:rPr>
          <w:b/>
        </w:rPr>
      </w:pPr>
      <w:r w:rsidRPr="0022595E">
        <w:rPr>
          <w:b/>
          <w:bCs/>
        </w:rPr>
        <w:t xml:space="preserve">Комітету Верховної Ради України з питань інтеграції </w:t>
      </w:r>
      <w:r w:rsidRPr="0022595E">
        <w:rPr>
          <w:b/>
        </w:rPr>
        <w:t xml:space="preserve">України </w:t>
      </w:r>
      <w:r w:rsidR="002C2D4F" w:rsidRPr="0022595E">
        <w:rPr>
          <w:b/>
        </w:rPr>
        <w:t>до</w:t>
      </w:r>
      <w:r w:rsidRPr="0022595E">
        <w:rPr>
          <w:b/>
        </w:rPr>
        <w:t xml:space="preserve"> Європейськ</w:t>
      </w:r>
      <w:r w:rsidR="002C2D4F" w:rsidRPr="0022595E">
        <w:rPr>
          <w:b/>
        </w:rPr>
        <w:t>ого</w:t>
      </w:r>
      <w:r w:rsidRPr="0022595E">
        <w:rPr>
          <w:b/>
        </w:rPr>
        <w:t xml:space="preserve"> Союз</w:t>
      </w:r>
      <w:r w:rsidR="002C2D4F" w:rsidRPr="0022595E">
        <w:rPr>
          <w:b/>
        </w:rPr>
        <w:t>у</w:t>
      </w:r>
      <w:r w:rsidRPr="0022595E">
        <w:rPr>
          <w:b/>
        </w:rPr>
        <w:t xml:space="preserve"> щодо про</w:t>
      </w:r>
      <w:r w:rsidR="006B33A5" w:rsidRPr="0022595E">
        <w:rPr>
          <w:b/>
        </w:rPr>
        <w:t>є</w:t>
      </w:r>
      <w:r w:rsidRPr="0022595E">
        <w:rPr>
          <w:b/>
        </w:rPr>
        <w:t xml:space="preserve">кту </w:t>
      </w:r>
      <w:r w:rsidR="004975C0" w:rsidRPr="0022595E">
        <w:rPr>
          <w:b/>
        </w:rPr>
        <w:t>Закону «</w:t>
      </w:r>
      <w:r w:rsidR="007242C0" w:rsidRPr="007242C0">
        <w:rPr>
          <w:b/>
        </w:rPr>
        <w:t xml:space="preserve">Про внесення змін до </w:t>
      </w:r>
    </w:p>
    <w:p w14:paraId="548D729C" w14:textId="77777777" w:rsidR="007242C0" w:rsidRDefault="007242C0" w:rsidP="007242C0">
      <w:pPr>
        <w:ind w:firstLine="567"/>
        <w:jc w:val="center"/>
        <w:outlineLvl w:val="4"/>
        <w:rPr>
          <w:b/>
        </w:rPr>
      </w:pPr>
      <w:r w:rsidRPr="007242C0">
        <w:rPr>
          <w:b/>
        </w:rPr>
        <w:t xml:space="preserve">Кодексу законів про працю України щодо регулювання </w:t>
      </w:r>
    </w:p>
    <w:p w14:paraId="5172B4B2" w14:textId="77777777" w:rsidR="00B766E4" w:rsidRPr="0022595E" w:rsidRDefault="007242C0" w:rsidP="007242C0">
      <w:pPr>
        <w:ind w:firstLine="567"/>
        <w:jc w:val="center"/>
        <w:outlineLvl w:val="4"/>
        <w:rPr>
          <w:b/>
        </w:rPr>
      </w:pPr>
      <w:r w:rsidRPr="007242C0">
        <w:rPr>
          <w:b/>
        </w:rPr>
        <w:t>деяких питань трудових відносин</w:t>
      </w:r>
      <w:r w:rsidR="004975C0" w:rsidRPr="0022595E">
        <w:rPr>
          <w:b/>
        </w:rPr>
        <w:t>»</w:t>
      </w:r>
    </w:p>
    <w:p w14:paraId="388AEB54" w14:textId="77777777" w:rsidR="00B766E4" w:rsidRPr="0022595E" w:rsidRDefault="00B766E4" w:rsidP="007242C0">
      <w:pPr>
        <w:ind w:firstLine="567"/>
        <w:jc w:val="center"/>
        <w:rPr>
          <w:b/>
        </w:rPr>
      </w:pPr>
      <w:r w:rsidRPr="0022595E">
        <w:rPr>
          <w:b/>
          <w:bCs/>
        </w:rPr>
        <w:t>(</w:t>
      </w:r>
      <w:r w:rsidRPr="0022595E">
        <w:rPr>
          <w:b/>
        </w:rPr>
        <w:t xml:space="preserve">реєстр. № </w:t>
      </w:r>
      <w:r w:rsidR="002C2D4F" w:rsidRPr="0022595E">
        <w:rPr>
          <w:b/>
        </w:rPr>
        <w:t>5054</w:t>
      </w:r>
      <w:r w:rsidR="007242C0">
        <w:rPr>
          <w:b/>
        </w:rPr>
        <w:t>-1</w:t>
      </w:r>
      <w:r w:rsidRPr="0022595E">
        <w:rPr>
          <w:b/>
        </w:rPr>
        <w:t xml:space="preserve"> від </w:t>
      </w:r>
      <w:r w:rsidR="007242C0">
        <w:rPr>
          <w:b/>
        </w:rPr>
        <w:t>25</w:t>
      </w:r>
      <w:r w:rsidRPr="0022595E">
        <w:rPr>
          <w:b/>
        </w:rPr>
        <w:t>.</w:t>
      </w:r>
      <w:r w:rsidR="006B33A5" w:rsidRPr="0022595E">
        <w:rPr>
          <w:b/>
        </w:rPr>
        <w:t>02</w:t>
      </w:r>
      <w:r w:rsidRPr="0022595E">
        <w:rPr>
          <w:b/>
        </w:rPr>
        <w:t>.20</w:t>
      </w:r>
      <w:r w:rsidR="006B33A5" w:rsidRPr="0022595E">
        <w:rPr>
          <w:b/>
        </w:rPr>
        <w:t>2</w:t>
      </w:r>
      <w:r w:rsidRPr="0022595E">
        <w:rPr>
          <w:b/>
        </w:rPr>
        <w:t xml:space="preserve">1 р., </w:t>
      </w:r>
      <w:proofErr w:type="spellStart"/>
      <w:r w:rsidR="007242C0">
        <w:rPr>
          <w:b/>
        </w:rPr>
        <w:t>н.д</w:t>
      </w:r>
      <w:proofErr w:type="spellEnd"/>
      <w:r w:rsidR="007242C0">
        <w:rPr>
          <w:b/>
        </w:rPr>
        <w:t>. Г. Третьякова</w:t>
      </w:r>
      <w:r w:rsidRPr="0022595E">
        <w:rPr>
          <w:b/>
        </w:rPr>
        <w:t>)</w:t>
      </w:r>
    </w:p>
    <w:p w14:paraId="4472C71D" w14:textId="77777777" w:rsidR="00B766E4" w:rsidRPr="0022595E" w:rsidRDefault="00B766E4" w:rsidP="00B766E4">
      <w:pPr>
        <w:ind w:firstLine="567"/>
        <w:jc w:val="center"/>
        <w:rPr>
          <w:b/>
        </w:rPr>
      </w:pPr>
    </w:p>
    <w:p w14:paraId="2E0E9502" w14:textId="77777777" w:rsidR="00927B14" w:rsidRPr="005019BE" w:rsidRDefault="00927B14" w:rsidP="00927B14">
      <w:pPr>
        <w:ind w:firstLine="567"/>
        <w:jc w:val="both"/>
        <w:rPr>
          <w:b/>
          <w:bCs/>
        </w:rPr>
      </w:pPr>
      <w:r w:rsidRPr="005019BE">
        <w:rPr>
          <w:rFonts w:eastAsia="Verdana"/>
          <w:b/>
          <w:bCs/>
        </w:rPr>
        <w:t>1. </w:t>
      </w:r>
      <w:r w:rsidRPr="005019BE">
        <w:rPr>
          <w:b/>
          <w:bCs/>
        </w:rPr>
        <w:t>Загальна характеристика законопроєкту.</w:t>
      </w:r>
    </w:p>
    <w:p w14:paraId="007736F0" w14:textId="77777777" w:rsidR="00927B14" w:rsidRPr="005019BE" w:rsidRDefault="00927B14" w:rsidP="00927B14">
      <w:pPr>
        <w:ind w:firstLine="567"/>
        <w:jc w:val="both"/>
        <w:rPr>
          <w:noProof/>
          <w:lang w:eastAsia="ar-SA"/>
        </w:rPr>
      </w:pPr>
      <w:r w:rsidRPr="005019BE">
        <w:rPr>
          <w:color w:val="000000" w:themeColor="text1"/>
        </w:rPr>
        <w:t xml:space="preserve">Метою проєкту Закону, відповідно до пояснювальної записки, </w:t>
      </w:r>
      <w:r w:rsidRPr="005019BE">
        <w:rPr>
          <w:noProof/>
          <w:lang w:eastAsia="ar-SA"/>
        </w:rPr>
        <w:t>запровадження регулювання на законодавчому рівні трудових відносин та законодавче запровадження ознак трудових відносин, уніфікація понятійного апарату Кодексу законів про працю України, регулювання трудових відносин де суб’єктом є фізична особа – підприємець, а також приведення положень національного законодавства про працю у відповідність до положень Директиви Ради № 2001/23/ЄС від 12 березня 2001 про наближення законодавств держав-членів, що стосуються охорони прав працівників у випадку передачі підприємств, бізнесових структур або частин підприємств або бізнесових структур.</w:t>
      </w:r>
    </w:p>
    <w:p w14:paraId="7883340E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</w:p>
    <w:p w14:paraId="5C70F6FE" w14:textId="77777777" w:rsidR="00927B14" w:rsidRPr="005019BE" w:rsidRDefault="00927B14" w:rsidP="00927B14">
      <w:pPr>
        <w:ind w:firstLine="567"/>
        <w:jc w:val="both"/>
        <w:rPr>
          <w:b/>
          <w:bCs/>
        </w:rPr>
      </w:pPr>
      <w:r w:rsidRPr="005019BE">
        <w:rPr>
          <w:rFonts w:eastAsia="Verdana"/>
          <w:b/>
          <w:bCs/>
        </w:rPr>
        <w:t>2.  </w:t>
      </w:r>
      <w:r w:rsidRPr="005019BE">
        <w:rPr>
          <w:b/>
          <w:bCs/>
        </w:rPr>
        <w:t>Належність  законопроєкту   за предметом правового регулювання до сфери дії права Європейського Союзу.</w:t>
      </w:r>
    </w:p>
    <w:p w14:paraId="74C06807" w14:textId="77777777" w:rsidR="00927B14" w:rsidRPr="005019BE" w:rsidRDefault="00927B14" w:rsidP="00927B14">
      <w:pPr>
        <w:pStyle w:val="1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Предмет правового регулювання законопроєкту охоплюється положеннями Глави 21 «Співробітництво у галузі зайнятості, соціальної політики та рівних можливостей» Розділу V «Економічне та галузеве співробітництво» та Додатку XL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</w:t>
      </w:r>
      <w:r w:rsidRPr="005019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іншої сторони (далі – Угода про асоціацію).</w:t>
      </w:r>
    </w:p>
    <w:p w14:paraId="1463DB1E" w14:textId="77777777" w:rsidR="00927B14" w:rsidRPr="005019BE" w:rsidRDefault="00927B14" w:rsidP="00927B14">
      <w:pPr>
        <w:pStyle w:val="1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019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Правовідносини, які є предметом правового регулювання законопроєкту, регулюються:</w:t>
      </w:r>
    </w:p>
    <w:p w14:paraId="55D9CA11" w14:textId="77777777" w:rsidR="00927B14" w:rsidRPr="005019BE" w:rsidRDefault="00927B14" w:rsidP="00927B14">
      <w:pPr>
        <w:pStyle w:val="1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19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Договором про Європейський Союз (консолідована версія)</w:t>
      </w: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 202, 07.06.2016, p. 1 – 368) (далі – ДЄС);</w:t>
      </w:r>
    </w:p>
    <w:p w14:paraId="1F29C28C" w14:textId="77777777" w:rsidR="00927B14" w:rsidRPr="005019BE" w:rsidRDefault="00927B14" w:rsidP="00927B14">
      <w:pPr>
        <w:pStyle w:val="1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19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Договором про функціонування Європейського Союзу (консолідована версія)</w:t>
      </w: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202, 07.06.2016, p. 1 – 390) (далі – ДФЄС);</w:t>
      </w:r>
    </w:p>
    <w:p w14:paraId="20193C91" w14:textId="77777777" w:rsidR="00927B14" w:rsidRPr="005019BE" w:rsidRDefault="00927B14" w:rsidP="00927B14">
      <w:pPr>
        <w:pStyle w:val="1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19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Хартією основних прав Європейського Союзу</w:t>
      </w: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>Official</w:t>
      </w:r>
      <w:proofErr w:type="spellEnd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>Journal</w:t>
      </w:r>
      <w:proofErr w:type="spellEnd"/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C 202, 07.06.2016, p. 391– 407);</w:t>
      </w:r>
    </w:p>
    <w:p w14:paraId="03355A00" w14:textId="77777777" w:rsidR="00927B14" w:rsidRPr="005019BE" w:rsidRDefault="00927B14" w:rsidP="00927B14">
      <w:pPr>
        <w:numPr>
          <w:ilvl w:val="0"/>
          <w:numId w:val="1"/>
        </w:numPr>
        <w:tabs>
          <w:tab w:val="clear" w:pos="2574"/>
          <w:tab w:val="num" w:pos="900"/>
        </w:tabs>
        <w:ind w:left="0" w:firstLine="540"/>
        <w:jc w:val="both"/>
        <w:rPr>
          <w:color w:val="000000" w:themeColor="text1"/>
        </w:rPr>
      </w:pPr>
      <w:r w:rsidRPr="005019BE">
        <w:rPr>
          <w:i/>
          <w:color w:val="000000" w:themeColor="text1"/>
        </w:rPr>
        <w:t>Директивою Ради 2001/23/ЄС від 12 березня 2001 року про наближення законодавств держав-членів, що стосуються охорони прав працівників у випадку передачі підприємств, бізнесових структур або частин підприємств або бізнесових структур</w:t>
      </w:r>
      <w:r w:rsidRPr="005019BE">
        <w:rPr>
          <w:color w:val="000000" w:themeColor="text1"/>
        </w:rPr>
        <w:t xml:space="preserve"> (</w:t>
      </w:r>
      <w:proofErr w:type="spellStart"/>
      <w:r w:rsidRPr="005019BE">
        <w:rPr>
          <w:color w:val="000000" w:themeColor="text1"/>
        </w:rPr>
        <w:t>Official</w:t>
      </w:r>
      <w:proofErr w:type="spellEnd"/>
      <w:r w:rsidRPr="005019BE">
        <w:rPr>
          <w:color w:val="000000" w:themeColor="text1"/>
        </w:rPr>
        <w:t xml:space="preserve"> </w:t>
      </w:r>
      <w:proofErr w:type="spellStart"/>
      <w:r w:rsidRPr="005019BE">
        <w:rPr>
          <w:color w:val="000000" w:themeColor="text1"/>
        </w:rPr>
        <w:t>Journal</w:t>
      </w:r>
      <w:proofErr w:type="spellEnd"/>
      <w:r w:rsidRPr="005019BE">
        <w:rPr>
          <w:color w:val="000000" w:themeColor="text1"/>
        </w:rPr>
        <w:t xml:space="preserve"> L 82, 22.03.2001, p. 16 – 20) (далі – Директива Ради 2001/23/ЄС); </w:t>
      </w:r>
    </w:p>
    <w:p w14:paraId="30CA64E1" w14:textId="77777777" w:rsidR="00927B14" w:rsidRPr="005019BE" w:rsidRDefault="00927B14" w:rsidP="00927B14">
      <w:pPr>
        <w:numPr>
          <w:ilvl w:val="0"/>
          <w:numId w:val="1"/>
        </w:numPr>
        <w:tabs>
          <w:tab w:val="clear" w:pos="2574"/>
          <w:tab w:val="num" w:pos="900"/>
        </w:tabs>
        <w:ind w:left="0" w:firstLine="540"/>
        <w:jc w:val="both"/>
        <w:rPr>
          <w:color w:val="000000" w:themeColor="text1"/>
        </w:rPr>
      </w:pPr>
      <w:r w:rsidRPr="005019BE">
        <w:rPr>
          <w:i/>
          <w:color w:val="000000" w:themeColor="text1"/>
        </w:rPr>
        <w:t>Директивою Ради 91/533/ЄЕС</w:t>
      </w:r>
      <w:r w:rsidRPr="005019BE">
        <w:rPr>
          <w:bCs/>
          <w:i/>
          <w:color w:val="000000" w:themeColor="text1"/>
        </w:rPr>
        <w:t xml:space="preserve"> </w:t>
      </w:r>
      <w:r w:rsidRPr="005019BE">
        <w:rPr>
          <w:i/>
          <w:color w:val="000000" w:themeColor="text1"/>
        </w:rPr>
        <w:t xml:space="preserve">від 14 жовтня 1991 року про обов’язок роботодавця інформувати працівників про умови, що застосовуються до трудового договору чи трудових відносин </w:t>
      </w:r>
      <w:r w:rsidRPr="005019BE">
        <w:rPr>
          <w:color w:val="000000" w:themeColor="text1"/>
        </w:rPr>
        <w:t>(</w:t>
      </w:r>
      <w:proofErr w:type="spellStart"/>
      <w:r w:rsidRPr="005019BE">
        <w:rPr>
          <w:color w:val="000000" w:themeColor="text1"/>
        </w:rPr>
        <w:t>Official</w:t>
      </w:r>
      <w:proofErr w:type="spellEnd"/>
      <w:r w:rsidRPr="005019BE">
        <w:rPr>
          <w:color w:val="000000" w:themeColor="text1"/>
        </w:rPr>
        <w:t xml:space="preserve"> </w:t>
      </w:r>
      <w:proofErr w:type="spellStart"/>
      <w:r w:rsidRPr="005019BE">
        <w:rPr>
          <w:color w:val="000000" w:themeColor="text1"/>
        </w:rPr>
        <w:t>Journal</w:t>
      </w:r>
      <w:proofErr w:type="spellEnd"/>
      <w:r w:rsidRPr="005019BE">
        <w:rPr>
          <w:color w:val="000000" w:themeColor="text1"/>
        </w:rPr>
        <w:t xml:space="preserve"> L 288, 18.10.1991, p. 32 – 35) (далі – Директива Ради 91/533/ЄЕС) (втратить чинність – </w:t>
      </w:r>
      <w:r w:rsidRPr="005019BE">
        <w:t>31.07.2022 р.)</w:t>
      </w:r>
      <w:r w:rsidRPr="005019BE">
        <w:rPr>
          <w:color w:val="000000" w:themeColor="text1"/>
        </w:rPr>
        <w:t>;</w:t>
      </w:r>
    </w:p>
    <w:p w14:paraId="5F8CCC07" w14:textId="77777777" w:rsidR="00927B14" w:rsidRPr="005019BE" w:rsidRDefault="00927B14" w:rsidP="00927B14">
      <w:pPr>
        <w:numPr>
          <w:ilvl w:val="0"/>
          <w:numId w:val="1"/>
        </w:numPr>
        <w:tabs>
          <w:tab w:val="clear" w:pos="2574"/>
          <w:tab w:val="num" w:pos="900"/>
        </w:tabs>
        <w:ind w:left="0" w:firstLine="540"/>
        <w:jc w:val="both"/>
        <w:rPr>
          <w:color w:val="000000" w:themeColor="text1"/>
        </w:rPr>
      </w:pPr>
      <w:r w:rsidRPr="005019BE">
        <w:rPr>
          <w:i/>
          <w:color w:val="000000" w:themeColor="text1"/>
        </w:rPr>
        <w:lastRenderedPageBreak/>
        <w:t xml:space="preserve">Директивою </w:t>
      </w:r>
      <w:r w:rsidRPr="005019BE">
        <w:rPr>
          <w:i/>
        </w:rPr>
        <w:t>Європейського Парламенту і Ради 20</w:t>
      </w:r>
      <w:r w:rsidRPr="005019BE">
        <w:rPr>
          <w:i/>
          <w:color w:val="000000" w:themeColor="text1"/>
        </w:rPr>
        <w:t>19/1152</w:t>
      </w:r>
      <w:r w:rsidRPr="005019BE">
        <w:rPr>
          <w:bCs/>
          <w:i/>
          <w:color w:val="000000" w:themeColor="text1"/>
        </w:rPr>
        <w:t xml:space="preserve"> </w:t>
      </w:r>
      <w:r w:rsidRPr="005019BE">
        <w:rPr>
          <w:i/>
          <w:color w:val="000000" w:themeColor="text1"/>
        </w:rPr>
        <w:t xml:space="preserve">від 20 червня 2019 року про прозорі та передбачувані умови праці в Європейському Союзі  </w:t>
      </w:r>
      <w:r w:rsidRPr="005019BE">
        <w:rPr>
          <w:color w:val="000000" w:themeColor="text1"/>
        </w:rPr>
        <w:t>(</w:t>
      </w:r>
      <w:proofErr w:type="spellStart"/>
      <w:r w:rsidRPr="005019BE">
        <w:rPr>
          <w:color w:val="000000" w:themeColor="text1"/>
        </w:rPr>
        <w:t>Official</w:t>
      </w:r>
      <w:proofErr w:type="spellEnd"/>
      <w:r w:rsidRPr="005019BE">
        <w:rPr>
          <w:color w:val="000000" w:themeColor="text1"/>
        </w:rPr>
        <w:t xml:space="preserve"> </w:t>
      </w:r>
      <w:proofErr w:type="spellStart"/>
      <w:r w:rsidRPr="005019BE">
        <w:rPr>
          <w:color w:val="000000" w:themeColor="text1"/>
        </w:rPr>
        <w:t>Journal</w:t>
      </w:r>
      <w:proofErr w:type="spellEnd"/>
      <w:r w:rsidRPr="005019BE">
        <w:rPr>
          <w:color w:val="000000" w:themeColor="text1"/>
        </w:rPr>
        <w:t xml:space="preserve"> L 186, 11.07.2019, p. 105 – 121) (далі – Директива 2019/1152);</w:t>
      </w:r>
    </w:p>
    <w:p w14:paraId="377C138B" w14:textId="77777777" w:rsidR="00927B14" w:rsidRPr="005019BE" w:rsidRDefault="00927B14" w:rsidP="00927B14">
      <w:pPr>
        <w:pStyle w:val="10"/>
        <w:numPr>
          <w:ilvl w:val="0"/>
          <w:numId w:val="1"/>
        </w:numPr>
        <w:tabs>
          <w:tab w:val="clear" w:pos="257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19BE">
        <w:rPr>
          <w:rFonts w:ascii="Times New Roman" w:hAnsi="Times New Roman"/>
          <w:i/>
          <w:color w:val="000000"/>
          <w:sz w:val="28"/>
          <w:szCs w:val="28"/>
          <w:lang w:val="uk-UA"/>
        </w:rPr>
        <w:t>Директивою Ради 89/391/ЄЕС від 12 червня 1989 року про встановлення заходів із заохочення поліпшення охорони здоров’я та безпеки праці працівників</w:t>
      </w:r>
      <w:r w:rsidRPr="0050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9BE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5019BE">
        <w:rPr>
          <w:rFonts w:ascii="Times New Roman" w:hAnsi="Times New Roman"/>
          <w:color w:val="000000"/>
          <w:sz w:val="28"/>
          <w:szCs w:val="28"/>
          <w:lang w:val="uk-UA"/>
        </w:rPr>
        <w:t>Official</w:t>
      </w:r>
      <w:proofErr w:type="spellEnd"/>
      <w:r w:rsidRPr="005019B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019BE">
        <w:rPr>
          <w:rFonts w:ascii="Times New Roman" w:hAnsi="Times New Roman"/>
          <w:color w:val="000000"/>
          <w:sz w:val="28"/>
          <w:szCs w:val="28"/>
          <w:lang w:val="uk-UA"/>
        </w:rPr>
        <w:t>Journal</w:t>
      </w:r>
      <w:proofErr w:type="spellEnd"/>
      <w:r w:rsidRPr="005019BE">
        <w:rPr>
          <w:rFonts w:ascii="Times New Roman" w:hAnsi="Times New Roman"/>
          <w:color w:val="000000"/>
          <w:sz w:val="28"/>
          <w:szCs w:val="28"/>
          <w:lang w:val="uk-UA"/>
        </w:rPr>
        <w:t xml:space="preserve"> L 183, 29.06.1989, p. 1 – 8) (далі – Директива Ради 89/391/ЄЕС);</w:t>
      </w:r>
    </w:p>
    <w:p w14:paraId="2E067DA9" w14:textId="77777777" w:rsidR="00927B14" w:rsidRPr="005019BE" w:rsidRDefault="00927B14" w:rsidP="00927B14">
      <w:pPr>
        <w:pStyle w:val="10"/>
        <w:numPr>
          <w:ilvl w:val="0"/>
          <w:numId w:val="1"/>
        </w:numPr>
        <w:tabs>
          <w:tab w:val="clear" w:pos="257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19B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Директивою 2002/14/ЄС Європейського Парламенту та Ради від 11 березня 2002 року про встановлення загальної структури інформування та консультації працівників Європейського Співтовариства – Спільна декларація Європейського Парламенту, Ради та Комісії про представництво працівників </w:t>
      </w:r>
      <w:r w:rsidRPr="005019BE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5019BE">
        <w:rPr>
          <w:rFonts w:ascii="Times New Roman" w:hAnsi="Times New Roman"/>
          <w:color w:val="000000" w:themeColor="text1"/>
          <w:sz w:val="28"/>
          <w:szCs w:val="28"/>
          <w:lang w:val="uk-UA"/>
        </w:rPr>
        <w:t>Official</w:t>
      </w:r>
      <w:proofErr w:type="spellEnd"/>
      <w:r w:rsidRPr="005019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019BE">
        <w:rPr>
          <w:rFonts w:ascii="Times New Roman" w:hAnsi="Times New Roman"/>
          <w:color w:val="000000" w:themeColor="text1"/>
          <w:sz w:val="28"/>
          <w:szCs w:val="28"/>
          <w:lang w:val="uk-UA"/>
        </w:rPr>
        <w:t>Journal</w:t>
      </w:r>
      <w:proofErr w:type="spellEnd"/>
      <w:r w:rsidRPr="005019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L 80, 23.03.2002, p. 29 – 34) (далі – Директива Ради 2002/14/ЄС);</w:t>
      </w:r>
    </w:p>
    <w:p w14:paraId="4A0F7EC8" w14:textId="77777777" w:rsidR="00927B14" w:rsidRPr="005019BE" w:rsidRDefault="00927B14" w:rsidP="00927B14">
      <w:pPr>
        <w:pStyle w:val="10"/>
        <w:numPr>
          <w:ilvl w:val="0"/>
          <w:numId w:val="1"/>
        </w:numPr>
        <w:tabs>
          <w:tab w:val="clear" w:pos="2574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19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 також на рівні національного законодавства держав-членів ЄС</w:t>
      </w: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F7F95F2" w14:textId="77777777" w:rsidR="00927B14" w:rsidRDefault="00927B14" w:rsidP="00927B14">
      <w:pPr>
        <w:pStyle w:val="1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019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Міжнародно-правовими актами з питань, які становлять предмет регулювання законопроєкту, є </w:t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конвенції та рекомендації Міжнародної організації праці</w:t>
      </w:r>
      <w:r w:rsidRPr="005019BE">
        <w:rPr>
          <w:rStyle w:val="a8"/>
          <w:rFonts w:ascii="Times New Roman" w:hAnsi="Times New Roman"/>
          <w:color w:val="000000" w:themeColor="text1"/>
          <w:sz w:val="28"/>
          <w:szCs w:val="28"/>
          <w:lang w:val="uk-UA"/>
        </w:rPr>
        <w:footnoteReference w:id="1"/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, </w:t>
      </w:r>
      <w:r w:rsidRPr="005019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також </w:t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Європейська соціальна хартія (переглянута)</w:t>
      </w:r>
      <w:r w:rsidRPr="005019BE">
        <w:rPr>
          <w:rStyle w:val="a8"/>
          <w:rFonts w:ascii="Times New Roman" w:hAnsi="Times New Roman"/>
          <w:i/>
          <w:color w:val="000000" w:themeColor="text1"/>
          <w:sz w:val="28"/>
          <w:szCs w:val="28"/>
          <w:lang w:val="uk-UA"/>
        </w:rPr>
        <w:footnoteReference w:id="2"/>
      </w:r>
      <w:r w:rsidRPr="005019B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 </w:t>
      </w:r>
    </w:p>
    <w:p w14:paraId="6CA85634" w14:textId="77777777" w:rsidR="00927B14" w:rsidRPr="005019BE" w:rsidRDefault="00927B14" w:rsidP="00927B14">
      <w:pPr>
        <w:pStyle w:val="1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10FFFB4F" w14:textId="77777777" w:rsidR="00927B14" w:rsidRPr="005019BE" w:rsidRDefault="00927B14" w:rsidP="00927B14">
      <w:pPr>
        <w:ind w:firstLine="567"/>
        <w:jc w:val="both"/>
        <w:rPr>
          <w:b/>
          <w:color w:val="000000" w:themeColor="text1"/>
        </w:rPr>
      </w:pPr>
      <w:r w:rsidRPr="005019BE">
        <w:rPr>
          <w:rFonts w:eastAsia="Verdana"/>
          <w:b/>
          <w:bCs/>
          <w:color w:val="000000" w:themeColor="text1"/>
        </w:rPr>
        <w:t>3.  </w:t>
      </w:r>
      <w:r w:rsidRPr="005019BE">
        <w:rPr>
          <w:b/>
          <w:color w:val="000000" w:themeColor="text1"/>
        </w:rPr>
        <w:t>Відповідність законопроєкту праву ЄС.</w:t>
      </w:r>
    </w:p>
    <w:p w14:paraId="4758C743" w14:textId="77777777" w:rsidR="00927B14" w:rsidRPr="005019BE" w:rsidRDefault="00927B14" w:rsidP="00927B14">
      <w:pPr>
        <w:ind w:firstLine="567"/>
        <w:jc w:val="both"/>
      </w:pPr>
      <w:r w:rsidRPr="005019BE">
        <w:t xml:space="preserve">За результатами правового аналізу проєкту Закону щодо його відповідності </w:t>
      </w:r>
      <w:proofErr w:type="spellStart"/>
      <w:r w:rsidRPr="005019BE">
        <w:t>aсquis</w:t>
      </w:r>
      <w:proofErr w:type="spellEnd"/>
      <w:r w:rsidRPr="005019BE">
        <w:t xml:space="preserve"> ЄС та Угоді про асоціацію слід зазначити таке.  </w:t>
      </w:r>
    </w:p>
    <w:p w14:paraId="33E12CB5" w14:textId="77777777" w:rsidR="00927B14" w:rsidRPr="005019BE" w:rsidRDefault="00927B14" w:rsidP="00927B14">
      <w:pPr>
        <w:ind w:firstLine="567"/>
        <w:jc w:val="both"/>
        <w:rPr>
          <w:color w:val="000000"/>
        </w:rPr>
      </w:pPr>
      <w:r w:rsidRPr="005019BE">
        <w:rPr>
          <w:color w:val="000000"/>
        </w:rPr>
        <w:t xml:space="preserve">Згідно з положеннями </w:t>
      </w:r>
      <w:r w:rsidRPr="005019BE">
        <w:rPr>
          <w:i/>
          <w:color w:val="000000"/>
        </w:rPr>
        <w:t>статті 419 Угоди про асоціацію</w:t>
      </w:r>
      <w:r w:rsidRPr="005019BE">
        <w:rPr>
          <w:color w:val="000000"/>
        </w:rPr>
        <w:t xml:space="preserve"> Сторони посилюють діалог та співробітництво щодо забезпечення гідної праці, політики зайнятості, безпечних та здорових умов праці, соціального діалогу. </w:t>
      </w:r>
    </w:p>
    <w:p w14:paraId="607CEDA6" w14:textId="77777777" w:rsidR="00927B14" w:rsidRPr="005019BE" w:rsidRDefault="00927B14" w:rsidP="00927B14">
      <w:pPr>
        <w:ind w:firstLine="567"/>
        <w:jc w:val="both"/>
        <w:rPr>
          <w:color w:val="000000"/>
        </w:rPr>
      </w:pPr>
      <w:r w:rsidRPr="005019BE">
        <w:rPr>
          <w:color w:val="000000"/>
        </w:rPr>
        <w:t xml:space="preserve">Співробітництво у цих сферах, згідно зі </w:t>
      </w:r>
      <w:r w:rsidRPr="005019BE">
        <w:rPr>
          <w:i/>
          <w:color w:val="000000"/>
        </w:rPr>
        <w:t>статтею 420 Угоди про асоціацію</w:t>
      </w:r>
      <w:r w:rsidRPr="005019BE">
        <w:rPr>
          <w:color w:val="000000"/>
        </w:rPr>
        <w:t xml:space="preserve">, </w:t>
      </w:r>
      <w:bookmarkStart w:id="0" w:name="n2548"/>
      <w:bookmarkEnd w:id="0"/>
      <w:r w:rsidRPr="005019BE">
        <w:rPr>
          <w:color w:val="000000"/>
        </w:rPr>
        <w:t xml:space="preserve">передбачає досягнення, зокрема, таких цілей як: </w:t>
      </w:r>
      <w:bookmarkStart w:id="1" w:name="n2549"/>
      <w:bookmarkStart w:id="2" w:name="n2551"/>
      <w:bookmarkEnd w:id="1"/>
      <w:bookmarkEnd w:id="2"/>
      <w:r w:rsidRPr="005019BE">
        <w:rPr>
          <w:color w:val="000000"/>
        </w:rPr>
        <w:t xml:space="preserve">збільшення кількості та покращення якості робочих місць з гідними умовами праці; </w:t>
      </w:r>
      <w:bookmarkStart w:id="3" w:name="n2552"/>
      <w:bookmarkStart w:id="4" w:name="n2553"/>
      <w:bookmarkStart w:id="5" w:name="n2554"/>
      <w:bookmarkStart w:id="6" w:name="n2557"/>
      <w:bookmarkEnd w:id="3"/>
      <w:bookmarkEnd w:id="4"/>
      <w:bookmarkEnd w:id="5"/>
      <w:bookmarkEnd w:id="6"/>
      <w:r w:rsidRPr="005019BE">
        <w:rPr>
          <w:color w:val="000000"/>
        </w:rPr>
        <w:t>сприяння розвитку соціальної та юридичної справедливості у контексті реформуванні ринку праці; сприяння створенню на ринку праці таких умов, які б поєднували гнучкість та захищеність; зменшення обсягів неформальної економіки шляхом трансформації нелегальної зайнятості; посилення можливостей соціальних партнерів та сприяння соціальному діалогу.</w:t>
      </w:r>
    </w:p>
    <w:p w14:paraId="33B5E79A" w14:textId="77777777" w:rsidR="00927B14" w:rsidRPr="005019BE" w:rsidRDefault="00927B14" w:rsidP="00927B14">
      <w:pPr>
        <w:pStyle w:val="1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5019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</w:t>
      </w:r>
      <w:r w:rsidRPr="005019BE"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  <w:t xml:space="preserve"> </w:t>
      </w:r>
      <w:r w:rsidRPr="005019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423 Угоди про асоціацію</w:t>
      </w: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Сторони докладають зусиль для посилення співробітництва у сфері зайнятості та соціальної політики в рамках усіх відповідних регіональних, багатосторонніх та міжнародних форумів і організацій.</w:t>
      </w:r>
    </w:p>
    <w:p w14:paraId="6482C0CE" w14:textId="77777777" w:rsidR="00927B14" w:rsidRPr="005019BE" w:rsidRDefault="00927B14" w:rsidP="00927B14">
      <w:pPr>
        <w:pStyle w:val="1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Також згідно зі </w:t>
      </w:r>
      <w:r w:rsidRPr="005019B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статтею 291 Угоди про асоціацію</w:t>
      </w: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Сторони забезпечують і реалізовують у своїх законах та практиках основні міжнародно визнані трудові </w:t>
      </w:r>
      <w:r w:rsidRPr="005019B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стандарти, підтверджують своє зобов’язання щодо ефективного виконання основоположних та пріоритетних конвенцій МОП, які вони ратифікували, та Декларації МОП стосовно основних принципів та прав у світі праці 1998 року, а також розглядають питання про ратифікацію та імплементацію інших конвенцій МОП, які класифікуються МОП як такі, що відповідають сучасним вимогам.</w:t>
      </w:r>
    </w:p>
    <w:p w14:paraId="072B9214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При цьому слід звернути увагу, що відповідно до </w:t>
      </w:r>
      <w:r w:rsidRPr="005019BE">
        <w:rPr>
          <w:i/>
          <w:color w:val="000000" w:themeColor="text1"/>
        </w:rPr>
        <w:t xml:space="preserve">Угоди про асоціацію </w:t>
      </w:r>
      <w:r w:rsidRPr="005019BE">
        <w:rPr>
          <w:color w:val="000000" w:themeColor="text1"/>
        </w:rPr>
        <w:t>Україна взяла на себе зобов’язання поступово наблизити своє законодавство до права, стандартів та практики Європейського Союзу у сфері зайнятості, соціальної політики та рівних можливостей, як зазначено у Д</w:t>
      </w:r>
      <w:r w:rsidRPr="005019BE">
        <w:rPr>
          <w:bCs/>
          <w:color w:val="000000" w:themeColor="text1"/>
        </w:rPr>
        <w:t xml:space="preserve">одатку XL до </w:t>
      </w:r>
      <w:r w:rsidRPr="005019BE">
        <w:rPr>
          <w:color w:val="000000" w:themeColor="text1"/>
        </w:rPr>
        <w:t>Угоди про асоціацію, зокрема:</w:t>
      </w:r>
    </w:p>
    <w:p w14:paraId="2D8FCAAE" w14:textId="77777777" w:rsidR="00927B14" w:rsidRPr="005019BE" w:rsidRDefault="00927B14" w:rsidP="00927B14">
      <w:pPr>
        <w:numPr>
          <w:ilvl w:val="0"/>
          <w:numId w:val="2"/>
        </w:numPr>
        <w:tabs>
          <w:tab w:val="clear" w:pos="2574"/>
          <w:tab w:val="num" w:pos="540"/>
        </w:tabs>
        <w:ind w:left="540"/>
        <w:jc w:val="both"/>
        <w:rPr>
          <w:bCs/>
          <w:color w:val="000000" w:themeColor="text1"/>
        </w:rPr>
      </w:pPr>
      <w:r w:rsidRPr="005019BE">
        <w:rPr>
          <w:color w:val="000000" w:themeColor="text1"/>
        </w:rPr>
        <w:t xml:space="preserve">протягом трьох років з дати набрання чинності Угодою про асоціацію до </w:t>
      </w:r>
      <w:r w:rsidRPr="005019BE">
        <w:rPr>
          <w:i/>
          <w:color w:val="000000" w:themeColor="text1"/>
        </w:rPr>
        <w:t>Директиви Ради 2001/23/ЄС</w:t>
      </w:r>
      <w:r w:rsidRPr="005019BE">
        <w:rPr>
          <w:color w:val="000000" w:themeColor="text1"/>
        </w:rPr>
        <w:t xml:space="preserve">, </w:t>
      </w:r>
      <w:r w:rsidRPr="005019BE">
        <w:rPr>
          <w:i/>
          <w:color w:val="000000" w:themeColor="text1"/>
        </w:rPr>
        <w:t>Директива Ради 89/391/ЄЕС, Директиви 2002/14/ЄС</w:t>
      </w:r>
      <w:r w:rsidRPr="005019BE">
        <w:rPr>
          <w:color w:val="000000" w:themeColor="text1"/>
        </w:rPr>
        <w:t>;</w:t>
      </w:r>
    </w:p>
    <w:p w14:paraId="005F3EA5" w14:textId="77777777" w:rsidR="00927B14" w:rsidRPr="005019BE" w:rsidRDefault="00927B14" w:rsidP="00927B14">
      <w:pPr>
        <w:numPr>
          <w:ilvl w:val="0"/>
          <w:numId w:val="2"/>
        </w:numPr>
        <w:tabs>
          <w:tab w:val="clear" w:pos="2574"/>
          <w:tab w:val="num" w:pos="540"/>
        </w:tabs>
        <w:ind w:left="540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протягом чотирьох років з дати набрання чинності Угодою про асоціацію  до </w:t>
      </w:r>
      <w:r w:rsidRPr="005019BE">
        <w:rPr>
          <w:i/>
          <w:color w:val="000000" w:themeColor="text1"/>
        </w:rPr>
        <w:t>Директиви Ради 91/533/ЄЕС</w:t>
      </w:r>
      <w:r w:rsidRPr="005019BE">
        <w:rPr>
          <w:color w:val="000000" w:themeColor="text1"/>
        </w:rPr>
        <w:t xml:space="preserve"> (ця директива втрачає чинність </w:t>
      </w:r>
      <w:r w:rsidRPr="005019BE">
        <w:t xml:space="preserve">31 липня 2022 року </w:t>
      </w:r>
      <w:r w:rsidRPr="005019BE">
        <w:rPr>
          <w:color w:val="000000" w:themeColor="text1"/>
        </w:rPr>
        <w:t xml:space="preserve">на підставі </w:t>
      </w:r>
      <w:r w:rsidRPr="005019BE">
        <w:rPr>
          <w:i/>
          <w:color w:val="000000" w:themeColor="text1"/>
        </w:rPr>
        <w:t>Директиви 2019/1152</w:t>
      </w:r>
      <w:r w:rsidRPr="005019BE">
        <w:rPr>
          <w:color w:val="000000" w:themeColor="text1"/>
        </w:rPr>
        <w:t>).</w:t>
      </w:r>
    </w:p>
    <w:p w14:paraId="60F2F3B7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Насамперед необхідно зазначити, що законопроект </w:t>
      </w:r>
      <w:r w:rsidRPr="005019BE">
        <w:rPr>
          <w:color w:val="000000" w:themeColor="text1"/>
          <w:u w:val="single"/>
        </w:rPr>
        <w:t xml:space="preserve">є </w:t>
      </w:r>
      <w:r w:rsidRPr="005019BE">
        <w:rPr>
          <w:b/>
          <w:color w:val="000000" w:themeColor="text1"/>
          <w:u w:val="single"/>
        </w:rPr>
        <w:t>альтернативним</w:t>
      </w:r>
      <w:r w:rsidRPr="005019BE">
        <w:rPr>
          <w:color w:val="000000" w:themeColor="text1"/>
          <w:u w:val="single"/>
        </w:rPr>
        <w:t xml:space="preserve"> </w:t>
      </w:r>
      <w:r w:rsidRPr="005019BE">
        <w:rPr>
          <w:color w:val="000000" w:themeColor="text1"/>
        </w:rPr>
        <w:t>до проєкту Закону «Про внесення змін до Кодексу законів про працю України щодо визначення поняття трудових відносин та ознак їх наявності» (реєстр. № 5450 від 09.02.2021 р.)</w:t>
      </w:r>
      <w:r w:rsidRPr="005019BE">
        <w:rPr>
          <w:color w:val="000000" w:themeColor="text1"/>
          <w:u w:val="single"/>
        </w:rPr>
        <w:t xml:space="preserve"> та дублює більшість його положень</w:t>
      </w:r>
      <w:r w:rsidRPr="005019BE">
        <w:rPr>
          <w:color w:val="000000" w:themeColor="text1"/>
        </w:rPr>
        <w:t xml:space="preserve">. Тому рекомендації, які викладені у висновку Комітету до законопроєкту за реєстр. № 5054, є актуальними і для аналогічних положень цього проєкту Закону. </w:t>
      </w:r>
    </w:p>
    <w:p w14:paraId="637CA106" w14:textId="77777777" w:rsidR="00927B14" w:rsidRPr="005019BE" w:rsidRDefault="00927B14" w:rsidP="00927B14">
      <w:pPr>
        <w:ind w:firstLine="567"/>
        <w:jc w:val="both"/>
        <w:rPr>
          <w:rStyle w:val="rvts0"/>
        </w:rPr>
      </w:pPr>
      <w:r w:rsidRPr="005019BE">
        <w:rPr>
          <w:color w:val="000000" w:themeColor="text1"/>
        </w:rPr>
        <w:t xml:space="preserve">Від згаданого вище проєкту Закону за реєстр. № 5054 цей законопроєкт відрізняється, тим, що в ньому </w:t>
      </w:r>
      <w:r w:rsidRPr="005019BE">
        <w:rPr>
          <w:color w:val="000000" w:themeColor="text1"/>
          <w:u w:val="single"/>
        </w:rPr>
        <w:t xml:space="preserve">додатково пропонується </w:t>
      </w:r>
      <w:r w:rsidRPr="005019BE">
        <w:rPr>
          <w:noProof/>
          <w:color w:val="000000" w:themeColor="text1"/>
          <w:u w:val="single"/>
          <w:lang w:eastAsia="ar-SA"/>
        </w:rPr>
        <w:t>регулювання трудових відносин де суб’єктом є фізична особа-підприємець</w:t>
      </w:r>
      <w:r w:rsidRPr="005019BE">
        <w:rPr>
          <w:noProof/>
          <w:color w:val="000000" w:themeColor="text1"/>
          <w:lang w:eastAsia="ar-SA"/>
        </w:rPr>
        <w:t xml:space="preserve">. </w:t>
      </w:r>
      <w:r w:rsidRPr="005019BE">
        <w:t xml:space="preserve">Втім, </w:t>
      </w:r>
      <w:r w:rsidRPr="005019BE">
        <w:rPr>
          <w:u w:val="single"/>
        </w:rPr>
        <w:t>щодо такого підходу слід зауважити, що для визначення існування трудових відносин слід керуватися фактами, що підтверджують виконання роботи та виплату винагороди працівникові</w:t>
      </w:r>
      <w:r w:rsidRPr="005019BE">
        <w:t xml:space="preserve"> (як зазначено у </w:t>
      </w:r>
      <w:r w:rsidRPr="005019BE">
        <w:rPr>
          <w:i/>
        </w:rPr>
        <w:t>пункті 8 преамбули</w:t>
      </w:r>
      <w:r w:rsidRPr="005019BE">
        <w:t xml:space="preserve"> </w:t>
      </w:r>
      <w:r w:rsidRPr="005019BE">
        <w:rPr>
          <w:i/>
          <w:color w:val="000000" w:themeColor="text1"/>
        </w:rPr>
        <w:t xml:space="preserve">Директиви 2019/1152 </w:t>
      </w:r>
      <w:r w:rsidRPr="005019BE">
        <w:rPr>
          <w:color w:val="000000" w:themeColor="text1"/>
        </w:rPr>
        <w:t>та</w:t>
      </w:r>
      <w:r w:rsidRPr="005019BE">
        <w:t xml:space="preserve"> </w:t>
      </w:r>
      <w:r w:rsidRPr="005019BE">
        <w:rPr>
          <w:i/>
        </w:rPr>
        <w:t>пункті 9</w:t>
      </w:r>
      <w:r w:rsidRPr="005019BE">
        <w:t xml:space="preserve"> </w:t>
      </w:r>
      <w:r w:rsidRPr="005019BE">
        <w:rPr>
          <w:i/>
          <w:color w:val="000000" w:themeColor="text1"/>
        </w:rPr>
        <w:t>рекомендації МОП № 198</w:t>
      </w:r>
      <w:r w:rsidRPr="005019BE">
        <w:rPr>
          <w:rStyle w:val="a8"/>
          <w:i/>
          <w:color w:val="000000" w:themeColor="text1"/>
        </w:rPr>
        <w:footnoteReference w:id="3"/>
      </w:r>
      <w:r w:rsidRPr="005019BE">
        <w:t xml:space="preserve">), </w:t>
      </w:r>
      <w:r w:rsidRPr="005019BE">
        <w:rPr>
          <w:u w:val="single"/>
        </w:rPr>
        <w:t>а не правовим або податковим статусом роботодавця</w:t>
      </w:r>
      <w:r w:rsidRPr="005019BE">
        <w:t xml:space="preserve">, наприклад, чи є роботодавець юридичною особою чи фізичною особою, яка використовує найману працю (включаючи </w:t>
      </w:r>
      <w:r w:rsidRPr="005019BE">
        <w:rPr>
          <w:rStyle w:val="rvts0"/>
        </w:rPr>
        <w:t xml:space="preserve">фізичних осіб-підприємців). </w:t>
      </w:r>
    </w:p>
    <w:p w14:paraId="3F3A60D6" w14:textId="77777777" w:rsidR="00927B14" w:rsidRPr="005019BE" w:rsidRDefault="00927B14" w:rsidP="00927B14">
      <w:pPr>
        <w:ind w:firstLine="567"/>
        <w:jc w:val="both"/>
      </w:pPr>
      <w:r w:rsidRPr="005019BE">
        <w:rPr>
          <w:rStyle w:val="rvts0"/>
        </w:rPr>
        <w:t xml:space="preserve">Також необхідно наголосити, що </w:t>
      </w:r>
      <w:r w:rsidRPr="005019BE">
        <w:rPr>
          <w:u w:val="single"/>
        </w:rPr>
        <w:t xml:space="preserve">наявність трудового договору між працівником і </w:t>
      </w:r>
      <w:proofErr w:type="spellStart"/>
      <w:r w:rsidRPr="005019BE">
        <w:rPr>
          <w:u w:val="single"/>
        </w:rPr>
        <w:t>вигодонабувачем</w:t>
      </w:r>
      <w:proofErr w:type="spellEnd"/>
      <w:r w:rsidRPr="005019BE">
        <w:rPr>
          <w:u w:val="single"/>
        </w:rPr>
        <w:t xml:space="preserve"> його діяльності є достатньою (хоча й не необхідною) умовою існування трудових відносин</w:t>
      </w:r>
      <w:r w:rsidRPr="005019BE">
        <w:t xml:space="preserve">, адже доводить факт їхнього існування. Тому, </w:t>
      </w:r>
      <w:r w:rsidRPr="005019BE">
        <w:rPr>
          <w:u w:val="single"/>
        </w:rPr>
        <w:t>якщо фізична особа виконує певну роботу за трудовим договором на користь іншої сторони трудового договору</w:t>
      </w:r>
      <w:r w:rsidRPr="005019BE">
        <w:t xml:space="preserve">, то така особа перебуває у трудових відносинах із </w:t>
      </w:r>
      <w:proofErr w:type="spellStart"/>
      <w:r w:rsidRPr="005019BE">
        <w:t>вигодонабувачем</w:t>
      </w:r>
      <w:proofErr w:type="spellEnd"/>
      <w:r w:rsidRPr="005019BE">
        <w:t xml:space="preserve"> її діяльності, а отже, </w:t>
      </w:r>
      <w:r w:rsidRPr="005019BE">
        <w:rPr>
          <w:u w:val="single"/>
        </w:rPr>
        <w:t>законодавство про працю повинно поширюватися на такого працівника і</w:t>
      </w:r>
      <w:r w:rsidRPr="005019BE">
        <w:t xml:space="preserve"> на </w:t>
      </w:r>
      <w:proofErr w:type="spellStart"/>
      <w:r w:rsidRPr="005019BE">
        <w:t>вигодонабувача</w:t>
      </w:r>
      <w:proofErr w:type="spellEnd"/>
      <w:r w:rsidRPr="005019BE">
        <w:t xml:space="preserve"> його діяльності, тобто </w:t>
      </w:r>
      <w:r w:rsidRPr="005019BE">
        <w:rPr>
          <w:u w:val="single"/>
        </w:rPr>
        <w:t>на відповідного роботодавця</w:t>
      </w:r>
      <w:r w:rsidRPr="005019BE">
        <w:t xml:space="preserve">.  </w:t>
      </w:r>
    </w:p>
    <w:p w14:paraId="3DA1BCAC" w14:textId="77777777" w:rsidR="00927B14" w:rsidRPr="005019BE" w:rsidRDefault="00927B14" w:rsidP="00927B14">
      <w:pPr>
        <w:ind w:firstLine="567"/>
        <w:jc w:val="both"/>
      </w:pPr>
      <w:r w:rsidRPr="005019BE">
        <w:lastRenderedPageBreak/>
        <w:t xml:space="preserve">З огляду на вищезазначене, запропонована </w:t>
      </w:r>
      <w:proofErr w:type="spellStart"/>
      <w:r w:rsidRPr="005019BE">
        <w:t>проєктом</w:t>
      </w:r>
      <w:proofErr w:type="spellEnd"/>
      <w:r w:rsidRPr="005019BE">
        <w:t xml:space="preserve"> Закону нова редакція статті 3 </w:t>
      </w:r>
      <w:r w:rsidRPr="005019BE">
        <w:rPr>
          <w:noProof/>
        </w:rPr>
        <w:t>Кодексу законів про працю України</w:t>
      </w:r>
      <w:r w:rsidRPr="005019BE">
        <w:t xml:space="preserve">, а точніше частини шоста та сьома цієї статті у новій редакції, </w:t>
      </w:r>
      <w:r w:rsidRPr="005019BE">
        <w:rPr>
          <w:u w:val="single"/>
        </w:rPr>
        <w:t>викликають серйозні застереження</w:t>
      </w:r>
      <w:r w:rsidRPr="005019BE">
        <w:t xml:space="preserve">.  </w:t>
      </w:r>
    </w:p>
    <w:p w14:paraId="00CFDE8A" w14:textId="77777777" w:rsidR="00927B14" w:rsidRPr="005019BE" w:rsidRDefault="00927B14" w:rsidP="00927B14">
      <w:pPr>
        <w:ind w:firstLine="567"/>
        <w:jc w:val="both"/>
      </w:pPr>
      <w:r w:rsidRPr="005019BE">
        <w:rPr>
          <w:u w:val="single"/>
        </w:rPr>
        <w:t>Такі ж застереження доречно висловити</w:t>
      </w:r>
      <w:r w:rsidRPr="005019BE">
        <w:t xml:space="preserve"> щодо пропозиції, що міститься у законопроєкті, про доповнення статті 259 </w:t>
      </w:r>
      <w:r w:rsidRPr="005019BE">
        <w:rPr>
          <w:color w:val="000000" w:themeColor="text1"/>
        </w:rPr>
        <w:t>Кодексу законів про працю України частиною другою такого змісту: «</w:t>
      </w:r>
      <w:r w:rsidRPr="005019BE">
        <w:rPr>
          <w:noProof/>
        </w:rPr>
        <w:t xml:space="preserve">Центральні органи виконавчої влади здійснюють контроль за додержанням законодавства про працю на підприємствах, в установах і організаціях, що перебувають у їх функціональному підпорядкуванні, </w:t>
      </w:r>
      <w:r w:rsidRPr="005019BE">
        <w:rPr>
          <w:i/>
          <w:iCs/>
          <w:noProof/>
        </w:rPr>
        <w:t>крім перевірок діяльності фізичних осіб-підприємців</w:t>
      </w:r>
      <w:r w:rsidRPr="005019BE">
        <w:rPr>
          <w:noProof/>
        </w:rPr>
        <w:t xml:space="preserve">». Адже </w:t>
      </w:r>
      <w:r w:rsidRPr="005019BE">
        <w:rPr>
          <w:noProof/>
          <w:u w:val="single"/>
        </w:rPr>
        <w:t>звільнення фізичних осіб-підприємців, які є роботодавцями, і їхніх працівників від перевірок у рамках діяльності інспекції праці не відповідає</w:t>
      </w:r>
      <w:r w:rsidRPr="005019BE">
        <w:rPr>
          <w:noProof/>
        </w:rPr>
        <w:t xml:space="preserve"> </w:t>
      </w:r>
      <w:r w:rsidRPr="005019BE">
        <w:rPr>
          <w:i/>
          <w:iCs/>
          <w:noProof/>
        </w:rPr>
        <w:t>статті 1, 2, 3</w:t>
      </w:r>
      <w:r w:rsidRPr="005019BE">
        <w:rPr>
          <w:noProof/>
        </w:rPr>
        <w:t xml:space="preserve"> та </w:t>
      </w:r>
      <w:r w:rsidRPr="005019BE">
        <w:rPr>
          <w:i/>
          <w:iCs/>
          <w:noProof/>
        </w:rPr>
        <w:t>18 Конвенції МОП № 81</w:t>
      </w:r>
      <w:r w:rsidRPr="005019BE">
        <w:rPr>
          <w:rStyle w:val="a8"/>
          <w:noProof/>
        </w:rPr>
        <w:footnoteReference w:id="4"/>
      </w:r>
      <w:r w:rsidRPr="005019BE">
        <w:rPr>
          <w:noProof/>
        </w:rPr>
        <w:t xml:space="preserve">, </w:t>
      </w:r>
      <w:r w:rsidRPr="005019BE">
        <w:rPr>
          <w:i/>
          <w:iCs/>
          <w:noProof/>
        </w:rPr>
        <w:t>статтям 1, 3, 4, 6</w:t>
      </w:r>
      <w:r w:rsidRPr="005019BE">
        <w:rPr>
          <w:noProof/>
        </w:rPr>
        <w:t xml:space="preserve"> та </w:t>
      </w:r>
      <w:r w:rsidRPr="005019BE">
        <w:rPr>
          <w:i/>
          <w:iCs/>
          <w:noProof/>
        </w:rPr>
        <w:t>24 Конвенції МОП № 129</w:t>
      </w:r>
      <w:r w:rsidRPr="005019BE">
        <w:rPr>
          <w:rStyle w:val="a8"/>
          <w:noProof/>
        </w:rPr>
        <w:footnoteReference w:id="5"/>
      </w:r>
      <w:r w:rsidRPr="005019BE">
        <w:rPr>
          <w:noProof/>
        </w:rPr>
        <w:t xml:space="preserve">, </w:t>
      </w:r>
      <w:r w:rsidRPr="005019BE">
        <w:rPr>
          <w:i/>
          <w:iCs/>
          <w:noProof/>
        </w:rPr>
        <w:t xml:space="preserve">статті 4 </w:t>
      </w:r>
      <w:r w:rsidRPr="005019BE">
        <w:rPr>
          <w:i/>
          <w:iCs/>
          <w:color w:val="000000" w:themeColor="text1"/>
        </w:rPr>
        <w:t>Директиви Ради 89/391/ЄЕС</w:t>
      </w:r>
      <w:r w:rsidRPr="005019BE">
        <w:rPr>
          <w:noProof/>
        </w:rPr>
        <w:t xml:space="preserve">, </w:t>
      </w:r>
      <w:r w:rsidRPr="005019BE">
        <w:rPr>
          <w:i/>
          <w:iCs/>
          <w:noProof/>
        </w:rPr>
        <w:t>статті 9 Конвенцї МОП № 155</w:t>
      </w:r>
      <w:r w:rsidRPr="005019BE">
        <w:rPr>
          <w:rStyle w:val="a8"/>
          <w:noProof/>
        </w:rPr>
        <w:footnoteReference w:id="6"/>
      </w:r>
      <w:r w:rsidRPr="005019BE">
        <w:rPr>
          <w:noProof/>
        </w:rPr>
        <w:t xml:space="preserve">, а також </w:t>
      </w:r>
      <w:r w:rsidRPr="005019BE">
        <w:rPr>
          <w:noProof/>
          <w:u w:val="single"/>
        </w:rPr>
        <w:t xml:space="preserve">суперечить </w:t>
      </w:r>
      <w:r w:rsidRPr="005019BE">
        <w:rPr>
          <w:i/>
          <w:iCs/>
          <w:noProof/>
          <w:u w:val="single"/>
        </w:rPr>
        <w:t>принципу рівності та недискримінації</w:t>
      </w:r>
      <w:r w:rsidRPr="005019BE">
        <w:rPr>
          <w:noProof/>
        </w:rPr>
        <w:t xml:space="preserve">.  </w:t>
      </w:r>
    </w:p>
    <w:p w14:paraId="4199159F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Як і у проєкті Закону за реєстр. № 5054, при </w:t>
      </w:r>
      <w:r w:rsidRPr="005019BE">
        <w:rPr>
          <w:color w:val="000000" w:themeColor="text1"/>
          <w:u w:val="single"/>
        </w:rPr>
        <w:t xml:space="preserve">визначенні у цьому законопроєкті поняття «трудові відносини» та ознак їх наявності вбачається за доцільне більш повно врахувати положення </w:t>
      </w:r>
      <w:r w:rsidRPr="005019BE">
        <w:rPr>
          <w:i/>
          <w:color w:val="000000" w:themeColor="text1"/>
          <w:u w:val="single"/>
        </w:rPr>
        <w:t>пункту 13 рекомендації МОП № 198</w:t>
      </w:r>
      <w:r w:rsidRPr="005019BE">
        <w:rPr>
          <w:color w:val="000000" w:themeColor="text1"/>
        </w:rPr>
        <w:t xml:space="preserve">, в якому йдеться про те, що держави-члени МОП повинні передбачити можливість визначення у своїх законах і нормативних актах або іншими засобами конкретних ознак існування трудових відносин. Такі ознаки можуть включати: (a) той факт, що робота: виконується відповідно до вказівок і під контролем іншої сторони; припускає інтеграцію працівника в організаційну структуру підприємства; виконується винятково або головним чином в інтересах іншої особи; повинна виконуватися особисто працівником; виконується відповідно до певного графіка або на робочому місці, що вказується або узгоджується стороною, яка замовила її; має певну тривалість і передбачає певну спадкоємність; вимагає присутності працівника; або передбачає надання інструментів, матеріалів і механізмів стороною, що замовила роботу; (b) періодична виплата винагороди працівникові; той факт, що дана винагорода є єдиним або основним джерелом доходів працівника; здійснення оплати праці в натуральному виразі шляхом надання працівникові, приміром, харчових продуктів, житла або транспортних засобів; визнання таких прав, як щотижневі вихідні дні й щорічна відпустка; оплата стороною, що замовила виконання роботи, поїздок, що здійснюються працівником у цілях виконання роботи; або те, що працівник не несе фінансового ризику.    </w:t>
      </w:r>
    </w:p>
    <w:p w14:paraId="28DF452A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При визначенні у законопроєкті поняття «роботодавець» необхідно врахувати положення </w:t>
      </w:r>
      <w:r w:rsidRPr="005019BE">
        <w:rPr>
          <w:i/>
          <w:color w:val="000000" w:themeColor="text1"/>
        </w:rPr>
        <w:t>Директиви Ради 2002/14/ЄС</w:t>
      </w:r>
      <w:r w:rsidRPr="005019BE">
        <w:rPr>
          <w:color w:val="000000" w:themeColor="text1"/>
        </w:rPr>
        <w:t xml:space="preserve">. Так, </w:t>
      </w:r>
      <w:r w:rsidRPr="005019BE">
        <w:rPr>
          <w:color w:val="000000" w:themeColor="text1"/>
          <w:u w:val="single"/>
        </w:rPr>
        <w:t xml:space="preserve">на відміну від </w:t>
      </w:r>
      <w:r w:rsidRPr="005019BE">
        <w:rPr>
          <w:i/>
          <w:color w:val="000000" w:themeColor="text1"/>
          <w:u w:val="single"/>
        </w:rPr>
        <w:t>статті 2 Директиви Ради 2002/14/ЄC</w:t>
      </w:r>
      <w:r w:rsidRPr="005019BE">
        <w:rPr>
          <w:color w:val="000000" w:themeColor="text1"/>
          <w:u w:val="single"/>
        </w:rPr>
        <w:t xml:space="preserve">, у визначенні терміну «роботодавець», що пропонується у </w:t>
      </w:r>
      <w:r w:rsidRPr="005019BE">
        <w:rPr>
          <w:color w:val="000000" w:themeColor="text1"/>
          <w:u w:val="single"/>
        </w:rPr>
        <w:lastRenderedPageBreak/>
        <w:t>законопроєкті, не зазначено, що роботодавець є стороною трудових договорів або трудових відносин з працівниками</w:t>
      </w:r>
      <w:r w:rsidRPr="005019BE">
        <w:rPr>
          <w:color w:val="000000" w:themeColor="text1"/>
        </w:rPr>
        <w:t>.</w:t>
      </w:r>
    </w:p>
    <w:p w14:paraId="186D1761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Також законопроєкт, попри згадку, що міститься у пояснювальній записці, про «необхідність врегулювання на законодавчому рівні принципу презумпції наявності трудових відносин», </w:t>
      </w:r>
      <w:r w:rsidRPr="005019BE">
        <w:rPr>
          <w:color w:val="000000" w:themeColor="text1"/>
          <w:u w:val="single"/>
        </w:rPr>
        <w:t xml:space="preserve">не встановлює правову презумпцію існування трудових відносин, а лише містить твердження про те, що «робота </w:t>
      </w:r>
      <w:r w:rsidRPr="005019BE">
        <w:rPr>
          <w:i/>
          <w:color w:val="000000" w:themeColor="text1"/>
          <w:u w:val="single"/>
        </w:rPr>
        <w:t>може</w:t>
      </w:r>
      <w:r w:rsidRPr="005019BE">
        <w:rPr>
          <w:color w:val="000000" w:themeColor="text1"/>
          <w:u w:val="single"/>
        </w:rPr>
        <w:t xml:space="preserve"> </w:t>
      </w:r>
      <w:r w:rsidRPr="005019BE">
        <w:rPr>
          <w:i/>
          <w:color w:val="000000" w:themeColor="text1"/>
          <w:u w:val="single"/>
        </w:rPr>
        <w:t>бути визнана</w:t>
      </w:r>
      <w:r w:rsidRPr="005019BE">
        <w:rPr>
          <w:color w:val="000000" w:themeColor="text1"/>
          <w:u w:val="single"/>
        </w:rPr>
        <w:t xml:space="preserve"> такою, що виконується в межах трудових відносин</w:t>
      </w:r>
      <w:r w:rsidRPr="005019BE">
        <w:rPr>
          <w:color w:val="000000" w:themeColor="text1"/>
        </w:rPr>
        <w:t>» (частина перша статті 21</w:t>
      </w:r>
      <w:r w:rsidRPr="005019BE">
        <w:rPr>
          <w:color w:val="000000" w:themeColor="text1"/>
          <w:vertAlign w:val="superscript"/>
        </w:rPr>
        <w:t>2</w:t>
      </w:r>
      <w:r w:rsidRPr="005019BE">
        <w:rPr>
          <w:color w:val="000000" w:themeColor="text1"/>
        </w:rPr>
        <w:t xml:space="preserve">, якою у законопроєкті пропонується доповнити </w:t>
      </w:r>
      <w:r w:rsidRPr="005019BE">
        <w:rPr>
          <w:noProof/>
        </w:rPr>
        <w:t>Кодекс законів про працю України)</w:t>
      </w:r>
      <w:r w:rsidRPr="005019BE">
        <w:rPr>
          <w:color w:val="000000" w:themeColor="text1"/>
        </w:rPr>
        <w:t>. У такій редакції це положення законопроєкту лише визначає умови («</w:t>
      </w:r>
      <w:r w:rsidRPr="005019BE">
        <w:t>якщо є чотири і більше зазначених ознак наявності трудових відносин»</w:t>
      </w:r>
      <w:r w:rsidRPr="005019BE">
        <w:rPr>
          <w:color w:val="000000" w:themeColor="text1"/>
        </w:rPr>
        <w:t xml:space="preserve">), за яких «робота </w:t>
      </w:r>
      <w:r w:rsidRPr="005019BE">
        <w:rPr>
          <w:i/>
          <w:color w:val="000000" w:themeColor="text1"/>
        </w:rPr>
        <w:t>може</w:t>
      </w:r>
      <w:r w:rsidRPr="005019BE">
        <w:rPr>
          <w:color w:val="000000" w:themeColor="text1"/>
        </w:rPr>
        <w:t xml:space="preserve"> </w:t>
      </w:r>
      <w:r w:rsidRPr="005019BE">
        <w:rPr>
          <w:i/>
          <w:color w:val="000000" w:themeColor="text1"/>
        </w:rPr>
        <w:t>бути визнана</w:t>
      </w:r>
      <w:r w:rsidRPr="005019BE">
        <w:rPr>
          <w:color w:val="000000" w:themeColor="text1"/>
        </w:rPr>
        <w:t xml:space="preserve"> такою, що виконується в межах трудових відносин», але не встановлює принцип презумпції наявності трудових відносин.      </w:t>
      </w:r>
    </w:p>
    <w:p w14:paraId="2C26A3C7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Зазначене </w:t>
      </w:r>
      <w:r w:rsidRPr="005019BE">
        <w:rPr>
          <w:color w:val="000000" w:themeColor="text1"/>
          <w:u w:val="single"/>
        </w:rPr>
        <w:t xml:space="preserve">положення проєкту Закону в частині слів «може бути визнана» </w:t>
      </w:r>
      <w:r w:rsidRPr="005019BE">
        <w:rPr>
          <w:u w:val="single"/>
        </w:rPr>
        <w:t xml:space="preserve">також </w:t>
      </w:r>
      <w:r w:rsidRPr="005019BE">
        <w:rPr>
          <w:color w:val="000000" w:themeColor="text1"/>
          <w:u w:val="single"/>
        </w:rPr>
        <w:t>не відповідає принципу правової визначеності</w:t>
      </w:r>
      <w:r w:rsidRPr="005019BE">
        <w:rPr>
          <w:color w:val="000000" w:themeColor="text1"/>
        </w:rPr>
        <w:t xml:space="preserve"> («</w:t>
      </w:r>
      <w:proofErr w:type="spellStart"/>
      <w:r w:rsidRPr="005019BE">
        <w:rPr>
          <w:color w:val="000000" w:themeColor="text1"/>
        </w:rPr>
        <w:t>legаl</w:t>
      </w:r>
      <w:proofErr w:type="spellEnd"/>
      <w:r w:rsidRPr="005019BE">
        <w:rPr>
          <w:color w:val="000000" w:themeColor="text1"/>
        </w:rPr>
        <w:t xml:space="preserve"> </w:t>
      </w:r>
      <w:proofErr w:type="spellStart"/>
      <w:r w:rsidRPr="005019BE">
        <w:rPr>
          <w:color w:val="000000" w:themeColor="text1"/>
        </w:rPr>
        <w:t>certainty</w:t>
      </w:r>
      <w:proofErr w:type="spellEnd"/>
      <w:r w:rsidRPr="005019BE">
        <w:rPr>
          <w:color w:val="000000" w:themeColor="text1"/>
        </w:rPr>
        <w:t>»), який є одним із загальних принципів права ЄС, та згідно з яким для належного функціонування правової системи держави передбачуваність, несуперечливість та узгодженість формулювання норм є однією із обов’язкових умов для створення якісного та дієвого законодавства.</w:t>
      </w:r>
    </w:p>
    <w:p w14:paraId="6165E454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Принагідно слід наголосити, що закріплення правової презумпції існування трудових відносин, як визначено у </w:t>
      </w:r>
      <w:r w:rsidRPr="005019BE">
        <w:rPr>
          <w:i/>
          <w:color w:val="000000" w:themeColor="text1"/>
        </w:rPr>
        <w:t>пунктах (35), (39) преамбули</w:t>
      </w:r>
      <w:r w:rsidRPr="005019BE">
        <w:rPr>
          <w:color w:val="000000" w:themeColor="text1"/>
        </w:rPr>
        <w:t xml:space="preserve"> та </w:t>
      </w:r>
      <w:r w:rsidRPr="005019BE">
        <w:rPr>
          <w:i/>
          <w:color w:val="000000" w:themeColor="text1"/>
        </w:rPr>
        <w:t>статтях 11, 15  Директиви 2019/1152</w:t>
      </w:r>
      <w:r w:rsidRPr="005019BE">
        <w:rPr>
          <w:color w:val="000000" w:themeColor="text1"/>
        </w:rPr>
        <w:t xml:space="preserve"> та </w:t>
      </w:r>
      <w:r w:rsidRPr="005019BE">
        <w:rPr>
          <w:i/>
          <w:color w:val="000000" w:themeColor="text1"/>
        </w:rPr>
        <w:t>підпункті (b) пункту 11 рекомендації МОП № 198</w:t>
      </w:r>
      <w:r w:rsidRPr="005019BE">
        <w:rPr>
          <w:color w:val="000000" w:themeColor="text1"/>
        </w:rPr>
        <w:t xml:space="preserve">, є важливим також для досягнення цілей законопроєкту. </w:t>
      </w:r>
    </w:p>
    <w:p w14:paraId="1CF55EF5" w14:textId="77777777" w:rsidR="00927B14" w:rsidRPr="005019BE" w:rsidRDefault="00927B14" w:rsidP="00927B14">
      <w:pPr>
        <w:ind w:firstLine="567"/>
        <w:jc w:val="both"/>
        <w:rPr>
          <w:noProof/>
        </w:rPr>
      </w:pPr>
      <w:r w:rsidRPr="005019BE">
        <w:rPr>
          <w:color w:val="000000" w:themeColor="text1"/>
        </w:rPr>
        <w:t>Частиною другою статті 21</w:t>
      </w:r>
      <w:r w:rsidRPr="005019BE">
        <w:rPr>
          <w:color w:val="000000" w:themeColor="text1"/>
          <w:vertAlign w:val="superscript"/>
        </w:rPr>
        <w:t>1</w:t>
      </w:r>
      <w:r w:rsidRPr="005019BE">
        <w:rPr>
          <w:color w:val="000000" w:themeColor="text1"/>
        </w:rPr>
        <w:t xml:space="preserve">, якою у законопроєкті пропонується доповнити </w:t>
      </w:r>
      <w:r w:rsidRPr="005019BE">
        <w:rPr>
          <w:noProof/>
        </w:rPr>
        <w:t xml:space="preserve">Кодекс законів про працю України, передбачено, що «працівник має право укладати трудові договори з одним або одночасно з декількома роботодавцями, якщо інше не передбачене законодавством або </w:t>
      </w:r>
      <w:r w:rsidRPr="005019BE">
        <w:rPr>
          <w:i/>
          <w:noProof/>
        </w:rPr>
        <w:t>трудовим договором</w:t>
      </w:r>
      <w:r w:rsidRPr="005019BE">
        <w:rPr>
          <w:noProof/>
        </w:rPr>
        <w:t xml:space="preserve">». Втім, такий підхід не зовсім узгоджується з положеннями </w:t>
      </w:r>
      <w:r w:rsidRPr="005019BE">
        <w:rPr>
          <w:i/>
          <w:noProof/>
        </w:rPr>
        <w:t xml:space="preserve">статті 9 </w:t>
      </w:r>
      <w:r w:rsidRPr="005019BE">
        <w:rPr>
          <w:i/>
          <w:color w:val="000000" w:themeColor="text1"/>
        </w:rPr>
        <w:t>Директиви 2019/1152</w:t>
      </w:r>
      <w:r w:rsidRPr="005019BE">
        <w:rPr>
          <w:color w:val="000000" w:themeColor="text1"/>
        </w:rPr>
        <w:t>, якою передбачено, що д</w:t>
      </w:r>
      <w:r w:rsidRPr="005019BE">
        <w:rPr>
          <w:noProof/>
        </w:rPr>
        <w:t xml:space="preserve">ержави-члени забезпечують, щоб роботодавець ані забороняв працівникові вступати у трудові відносини з іншими роботодавцями поза рамками робочого графіка, встановленого цим роботодавцем, ані несприятливо ставився до працівника через це. При цьому, держави-члени можуть установити умови застосування роботодавцями на об’єктивних підставах деяких обмежень щодо несумісності, наприклад, для захисту здоров’я і безпеки працівників, забезпечення конфіденційності діяльності, сумлінності державної служби або уникнення конфліктів інтересів. </w:t>
      </w:r>
    </w:p>
    <w:p w14:paraId="0C489AD3" w14:textId="77777777" w:rsidR="00927B14" w:rsidRPr="005019BE" w:rsidRDefault="00927B14" w:rsidP="00927B14">
      <w:pPr>
        <w:ind w:firstLine="567"/>
        <w:jc w:val="both"/>
        <w:rPr>
          <w:noProof/>
        </w:rPr>
      </w:pPr>
      <w:r w:rsidRPr="005019BE">
        <w:rPr>
          <w:noProof/>
        </w:rPr>
        <w:t xml:space="preserve">Отже, </w:t>
      </w:r>
      <w:r w:rsidRPr="005019BE">
        <w:rPr>
          <w:noProof/>
          <w:u w:val="single"/>
        </w:rPr>
        <w:t xml:space="preserve">для кращого узгодження вищезначеного положення законопроєкту зі </w:t>
      </w:r>
      <w:r w:rsidRPr="005019BE">
        <w:rPr>
          <w:i/>
          <w:noProof/>
          <w:u w:val="single"/>
        </w:rPr>
        <w:t>статтею 9 Директиви 2019/1152</w:t>
      </w:r>
      <w:r w:rsidRPr="005019BE">
        <w:rPr>
          <w:noProof/>
          <w:u w:val="single"/>
        </w:rPr>
        <w:t xml:space="preserve"> необхідно передбачити, що роботодавець не може обмежувати право працівників укладати трудові договори з іншими роботодавцями, якщо це не передбачено у законі, встановивши при цьому певні обмеження щодо несумісності на належним чином обґрунтованих і об’єктивних підставах</w:t>
      </w:r>
      <w:r w:rsidRPr="005019BE">
        <w:rPr>
          <w:noProof/>
        </w:rPr>
        <w:t xml:space="preserve">, як це визначено у </w:t>
      </w:r>
      <w:r w:rsidRPr="005019BE">
        <w:rPr>
          <w:i/>
          <w:noProof/>
        </w:rPr>
        <w:t>Директиві 2019/1152</w:t>
      </w:r>
      <w:r w:rsidRPr="005019BE">
        <w:rPr>
          <w:noProof/>
        </w:rPr>
        <w:t xml:space="preserve">.   </w:t>
      </w:r>
    </w:p>
    <w:p w14:paraId="58683E82" w14:textId="77777777" w:rsidR="00927B14" w:rsidRPr="005019BE" w:rsidRDefault="00927B14" w:rsidP="00927B14">
      <w:pPr>
        <w:ind w:firstLine="567"/>
        <w:jc w:val="both"/>
      </w:pPr>
      <w:r w:rsidRPr="005019BE">
        <w:rPr>
          <w:noProof/>
        </w:rPr>
        <w:t xml:space="preserve">Варто також звернути увагу на те, що </w:t>
      </w:r>
      <w:r w:rsidRPr="005019BE">
        <w:rPr>
          <w:noProof/>
          <w:u w:val="single"/>
        </w:rPr>
        <w:t xml:space="preserve">проєкт Закону не містить положень щодо обов’язку роботодавця інформувати працівників про основні аспекти трудових відносин </w:t>
      </w:r>
      <w:r w:rsidRPr="005019BE">
        <w:rPr>
          <w:noProof/>
          <w:color w:val="000000" w:themeColor="text1"/>
          <w:u w:val="single"/>
        </w:rPr>
        <w:t xml:space="preserve">або про умови, що застосовуються до контракту чи трудового </w:t>
      </w:r>
      <w:r w:rsidRPr="005019BE">
        <w:rPr>
          <w:noProof/>
          <w:color w:val="000000" w:themeColor="text1"/>
          <w:u w:val="single"/>
        </w:rPr>
        <w:lastRenderedPageBreak/>
        <w:t>договору, а також про строки та засоби надання такої інформації</w:t>
      </w:r>
      <w:r w:rsidRPr="005019BE">
        <w:rPr>
          <w:noProof/>
          <w:color w:val="000000" w:themeColor="text1"/>
        </w:rPr>
        <w:t>. Ним лише пропонується у частині третій нової статті 21</w:t>
      </w:r>
      <w:r w:rsidRPr="005019BE">
        <w:rPr>
          <w:noProof/>
          <w:color w:val="000000" w:themeColor="text1"/>
          <w:vertAlign w:val="superscript"/>
        </w:rPr>
        <w:t>1</w:t>
      </w:r>
      <w:r w:rsidRPr="005019BE">
        <w:rPr>
          <w:noProof/>
          <w:color w:val="000000" w:themeColor="text1"/>
        </w:rPr>
        <w:t xml:space="preserve">, якою передбачається доповнити Кодекс законів про працю України, заначити, що «особливою формою трудового договору є контракт, в якому строк його дії, права, обов’язки і відповідальність сторін (у тому числі матеріальна), умови матеріального забезпечення і організації праці працівника, умови розірвання договору, в тому числі дострокового, можуть встановлюватися угодою сторін». </w:t>
      </w:r>
      <w:r w:rsidRPr="005019BE">
        <w:rPr>
          <w:color w:val="000000" w:themeColor="text1"/>
          <w:u w:val="single"/>
        </w:rPr>
        <w:t xml:space="preserve">Такий підхід не узгоджується з вимогами </w:t>
      </w:r>
      <w:r w:rsidRPr="005019BE">
        <w:rPr>
          <w:i/>
          <w:noProof/>
          <w:color w:val="000000" w:themeColor="text1"/>
          <w:u w:val="single"/>
        </w:rPr>
        <w:t>статей</w:t>
      </w:r>
      <w:r w:rsidRPr="005019BE">
        <w:rPr>
          <w:color w:val="000000" w:themeColor="text1"/>
          <w:u w:val="single"/>
        </w:rPr>
        <w:t xml:space="preserve"> </w:t>
      </w:r>
      <w:r w:rsidRPr="005019BE">
        <w:rPr>
          <w:i/>
          <w:noProof/>
          <w:color w:val="000000" w:themeColor="text1"/>
          <w:u w:val="single"/>
        </w:rPr>
        <w:t>3 – 7</w:t>
      </w:r>
      <w:r w:rsidRPr="005019BE">
        <w:rPr>
          <w:color w:val="000000" w:themeColor="text1"/>
          <w:u w:val="single"/>
        </w:rPr>
        <w:t xml:space="preserve">  </w:t>
      </w:r>
      <w:r w:rsidRPr="005019BE">
        <w:rPr>
          <w:i/>
          <w:noProof/>
          <w:color w:val="000000" w:themeColor="text1"/>
          <w:u w:val="single"/>
        </w:rPr>
        <w:t>Директиви 2019/1152</w:t>
      </w:r>
      <w:r w:rsidRPr="005019BE">
        <w:rPr>
          <w:color w:val="000000" w:themeColor="text1"/>
          <w:u w:val="single"/>
        </w:rPr>
        <w:t>, тому проєкт Закону потребує доопрацювання</w:t>
      </w:r>
      <w:r w:rsidRPr="005019BE">
        <w:rPr>
          <w:color w:val="000000" w:themeColor="text1"/>
        </w:rPr>
        <w:t xml:space="preserve"> з метою доповнення його відповідними положеннями, передбаченими у згаданій директиві.</w:t>
      </w:r>
      <w:r w:rsidRPr="005019BE">
        <w:rPr>
          <w:color w:val="FF0000"/>
        </w:rPr>
        <w:t xml:space="preserve"> </w:t>
      </w:r>
      <w:r w:rsidRPr="005019BE">
        <w:rPr>
          <w:color w:val="000000" w:themeColor="text1"/>
        </w:rPr>
        <w:t xml:space="preserve">Так, відповідно до </w:t>
      </w:r>
      <w:r w:rsidRPr="005019BE">
        <w:rPr>
          <w:i/>
          <w:color w:val="000000" w:themeColor="text1"/>
        </w:rPr>
        <w:t xml:space="preserve">статті 4 </w:t>
      </w:r>
      <w:r w:rsidRPr="005019BE">
        <w:rPr>
          <w:i/>
          <w:noProof/>
          <w:color w:val="000000" w:themeColor="text1"/>
        </w:rPr>
        <w:t xml:space="preserve">Директиви 2019/1152 </w:t>
      </w:r>
      <w:r w:rsidRPr="005019BE">
        <w:rPr>
          <w:color w:val="000000" w:themeColor="text1"/>
        </w:rPr>
        <w:t xml:space="preserve">держави-члени забезпечують, щоб роботодавці були зобов’язані інформувати працівників про основні аспекти трудових відносин. При цьому визначається мінімальний обов’язковий перелік відомостей. Також у  </w:t>
      </w:r>
      <w:r w:rsidRPr="005019BE">
        <w:rPr>
          <w:i/>
          <w:noProof/>
          <w:color w:val="000000" w:themeColor="text1"/>
        </w:rPr>
        <w:t xml:space="preserve">Директиві 2019/1152 </w:t>
      </w:r>
      <w:r w:rsidRPr="005019BE">
        <w:rPr>
          <w:color w:val="000000" w:themeColor="text1"/>
        </w:rPr>
        <w:t xml:space="preserve">визначаються строки та спосіб надання такої інформації. Згідно зі </w:t>
      </w:r>
      <w:r w:rsidRPr="005019BE">
        <w:rPr>
          <w:i/>
          <w:color w:val="000000" w:themeColor="text1"/>
        </w:rPr>
        <w:t>статтею 3</w:t>
      </w:r>
      <w:r w:rsidRPr="005019BE">
        <w:rPr>
          <w:color w:val="000000" w:themeColor="text1"/>
        </w:rPr>
        <w:t xml:space="preserve"> </w:t>
      </w:r>
      <w:r w:rsidRPr="005019BE">
        <w:rPr>
          <w:i/>
          <w:noProof/>
          <w:color w:val="000000" w:themeColor="text1"/>
        </w:rPr>
        <w:t>Директиви 2019</w:t>
      </w:r>
      <w:r w:rsidRPr="005019BE">
        <w:rPr>
          <w:i/>
          <w:noProof/>
        </w:rPr>
        <w:t xml:space="preserve">/1152 </w:t>
      </w:r>
      <w:r w:rsidRPr="005019BE">
        <w:rPr>
          <w:noProof/>
        </w:rPr>
        <w:t>р</w:t>
      </w:r>
      <w:r w:rsidRPr="005019BE">
        <w:t xml:space="preserve">оботодавець надає кожному працівникові необхідну інформацію у письмовій формі на папері або, за умови, що інформація є доступною для працівника, що вона може бути збережена і роздрукована і що роботодавець зберігає доказ її передачі або отримання, </w:t>
      </w:r>
      <w:r w:rsidRPr="005019BE">
        <w:rPr>
          <w:i/>
          <w:noProof/>
          <w:color w:val="000000" w:themeColor="text1"/>
        </w:rPr>
        <w:t xml:space="preserve">– </w:t>
      </w:r>
      <w:r w:rsidRPr="005019BE">
        <w:t xml:space="preserve">у електронній формі. Строки надання інформації передбачені у </w:t>
      </w:r>
      <w:r w:rsidRPr="005019BE">
        <w:rPr>
          <w:i/>
        </w:rPr>
        <w:t>частині першій</w:t>
      </w:r>
      <w:r w:rsidRPr="005019BE">
        <w:t xml:space="preserve"> </w:t>
      </w:r>
      <w:r w:rsidRPr="005019BE">
        <w:rPr>
          <w:i/>
        </w:rPr>
        <w:t>статті 5</w:t>
      </w:r>
      <w:r w:rsidRPr="005019BE">
        <w:t xml:space="preserve"> </w:t>
      </w:r>
      <w:r w:rsidRPr="005019BE">
        <w:rPr>
          <w:i/>
          <w:noProof/>
          <w:color w:val="000000" w:themeColor="text1"/>
        </w:rPr>
        <w:t>Директиви 2019</w:t>
      </w:r>
      <w:r w:rsidRPr="005019BE">
        <w:rPr>
          <w:i/>
          <w:noProof/>
        </w:rPr>
        <w:t xml:space="preserve">/1152, </w:t>
      </w:r>
      <w:r w:rsidRPr="005019BE">
        <w:rPr>
          <w:noProof/>
        </w:rPr>
        <w:t>а у випадку</w:t>
      </w:r>
      <w:r w:rsidRPr="005019BE">
        <w:rPr>
          <w:i/>
          <w:noProof/>
        </w:rPr>
        <w:t xml:space="preserve"> </w:t>
      </w:r>
      <w:r w:rsidRPr="005019BE">
        <w:t xml:space="preserve">будь-яких змін в аспектах трудових відносин – у </w:t>
      </w:r>
      <w:r w:rsidRPr="005019BE">
        <w:rPr>
          <w:i/>
          <w:noProof/>
        </w:rPr>
        <w:t xml:space="preserve">частині першій </w:t>
      </w:r>
      <w:r w:rsidRPr="005019BE">
        <w:rPr>
          <w:i/>
        </w:rPr>
        <w:t>статті 6</w:t>
      </w:r>
      <w:r w:rsidRPr="005019BE">
        <w:t xml:space="preserve"> </w:t>
      </w:r>
      <w:r w:rsidRPr="005019BE">
        <w:rPr>
          <w:i/>
          <w:noProof/>
          <w:color w:val="000000" w:themeColor="text1"/>
        </w:rPr>
        <w:t>Директиви 2019</w:t>
      </w:r>
      <w:r w:rsidRPr="005019BE">
        <w:rPr>
          <w:i/>
          <w:noProof/>
        </w:rPr>
        <w:t>/1152</w:t>
      </w:r>
      <w:r w:rsidRPr="005019BE">
        <w:t xml:space="preserve">. </w:t>
      </w:r>
    </w:p>
    <w:p w14:paraId="3232E15C" w14:textId="77777777" w:rsidR="00927B14" w:rsidRPr="005019BE" w:rsidRDefault="00927B14" w:rsidP="00927B14">
      <w:pPr>
        <w:ind w:firstLine="567"/>
        <w:jc w:val="both"/>
      </w:pPr>
      <w:r w:rsidRPr="005019BE">
        <w:t xml:space="preserve">Також у деяких випадках необхідним є надання роботодавцем інформації працівникам стосовно загроз для безпеки і здоров’я, а також заходів щодо першої допомоги, боротьби з пожежами та евакуації працівників, включаючи дані працівників, призначених для виконання цих заходів, як це передбачено у </w:t>
      </w:r>
      <w:r w:rsidRPr="005019BE">
        <w:rPr>
          <w:i/>
        </w:rPr>
        <w:t xml:space="preserve">статтях 8 </w:t>
      </w:r>
      <w:r w:rsidRPr="005019BE">
        <w:t>і</w:t>
      </w:r>
      <w:r w:rsidRPr="005019BE">
        <w:rPr>
          <w:i/>
        </w:rPr>
        <w:t xml:space="preserve"> 10 </w:t>
      </w:r>
      <w:r w:rsidRPr="005019BE">
        <w:rPr>
          <w:i/>
          <w:color w:val="000000"/>
        </w:rPr>
        <w:t>Директиви Ради 89/391/ЄЕС</w:t>
      </w:r>
      <w:r w:rsidRPr="005019BE">
        <w:rPr>
          <w:color w:val="000000"/>
        </w:rPr>
        <w:t>.</w:t>
      </w:r>
      <w:r w:rsidRPr="005019BE">
        <w:t xml:space="preserve">     </w:t>
      </w:r>
    </w:p>
    <w:p w14:paraId="64FC61FB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t xml:space="preserve">Крім того, </w:t>
      </w:r>
      <w:r w:rsidRPr="005019BE">
        <w:rPr>
          <w:u w:val="single"/>
        </w:rPr>
        <w:t xml:space="preserve">проєкт Закону не лише </w:t>
      </w:r>
      <w:r w:rsidRPr="005019BE">
        <w:rPr>
          <w:color w:val="000000" w:themeColor="text1"/>
          <w:u w:val="single"/>
        </w:rPr>
        <w:t>не встановлює правову презумпцію існування трудових відносин, не визначає конкретний порядок встановлення факту існування трудових відносин, але й не передбачає існування оперативних, недорогих, справедливих і дієвих процедур та механізмів урегулювання спорів щодо існування трудових відносин</w:t>
      </w:r>
      <w:r w:rsidRPr="005019BE">
        <w:rPr>
          <w:color w:val="000000" w:themeColor="text1"/>
        </w:rPr>
        <w:t xml:space="preserve">. Тоді як відповідно до </w:t>
      </w:r>
      <w:r w:rsidRPr="005019BE">
        <w:rPr>
          <w:i/>
          <w:color w:val="000000" w:themeColor="text1"/>
        </w:rPr>
        <w:t>пункту 4</w:t>
      </w:r>
      <w:r w:rsidRPr="005019BE">
        <w:rPr>
          <w:color w:val="000000" w:themeColor="text1"/>
        </w:rPr>
        <w:t xml:space="preserve"> </w:t>
      </w:r>
      <w:r w:rsidRPr="005019BE">
        <w:rPr>
          <w:i/>
          <w:color w:val="000000" w:themeColor="text1"/>
        </w:rPr>
        <w:t xml:space="preserve">рекомендації МОП № 198 </w:t>
      </w:r>
      <w:r w:rsidRPr="005019BE">
        <w:rPr>
          <w:color w:val="000000" w:themeColor="text1"/>
        </w:rPr>
        <w:t xml:space="preserve">національна політика держав-членів МОП повинна, як мінімум, передбачати заходи, спрямовані, серед іншого, на: </w:t>
      </w:r>
    </w:p>
    <w:p w14:paraId="4147D90A" w14:textId="77777777" w:rsidR="00927B14" w:rsidRPr="005019BE" w:rsidRDefault="00927B14" w:rsidP="00927B14">
      <w:pPr>
        <w:pStyle w:val="af0"/>
        <w:numPr>
          <w:ilvl w:val="0"/>
          <w:numId w:val="9"/>
        </w:numPr>
        <w:tabs>
          <w:tab w:val="left" w:pos="851"/>
        </w:tabs>
        <w:ind w:left="567" w:hanging="283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надання настанов зацікавленим сторонам, зокрема роботодавцям і працівникам, щодо ефективного встановлення факту існування трудових відносин, а також стосовно розрізнення між найманими і самозайнятими працівниками; </w:t>
      </w:r>
    </w:p>
    <w:p w14:paraId="7C5E1BF6" w14:textId="77777777" w:rsidR="00927B14" w:rsidRPr="005019BE" w:rsidRDefault="00927B14" w:rsidP="00927B14">
      <w:pPr>
        <w:pStyle w:val="af0"/>
        <w:numPr>
          <w:ilvl w:val="0"/>
          <w:numId w:val="9"/>
        </w:numPr>
        <w:tabs>
          <w:tab w:val="left" w:pos="851"/>
        </w:tabs>
        <w:ind w:left="567" w:hanging="283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боротьбу з замаскованими трудовими відносинами; </w:t>
      </w:r>
    </w:p>
    <w:p w14:paraId="4163A993" w14:textId="77777777" w:rsidR="00927B14" w:rsidRPr="005019BE" w:rsidRDefault="00927B14" w:rsidP="00927B14">
      <w:pPr>
        <w:pStyle w:val="af0"/>
        <w:numPr>
          <w:ilvl w:val="0"/>
          <w:numId w:val="9"/>
        </w:numPr>
        <w:tabs>
          <w:tab w:val="left" w:pos="851"/>
        </w:tabs>
        <w:ind w:left="567" w:hanging="283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ефективне забезпечення доступу зацікавлених сторін, зокрема роботодавців і працівників, до належних, швидких, недорогих, справедливих і дієвих процедур та механізмів урегулювання спорів, що стосуються існування та умов трудових відносин. </w:t>
      </w:r>
    </w:p>
    <w:p w14:paraId="276D33F6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rPr>
          <w:color w:val="000000" w:themeColor="text1"/>
        </w:rPr>
        <w:t xml:space="preserve">Також </w:t>
      </w:r>
      <w:r w:rsidRPr="005019BE">
        <w:rPr>
          <w:color w:val="000000" w:themeColor="text1"/>
          <w:u w:val="single"/>
        </w:rPr>
        <w:t xml:space="preserve">у законопроєкті не передбачено належних механізмів відшкодування та завчасного врегулювання для захисту працівників від несприятливого ставлення </w:t>
      </w:r>
      <w:r w:rsidRPr="005019BE">
        <w:rPr>
          <w:color w:val="000000" w:themeColor="text1"/>
          <w:u w:val="single"/>
        </w:rPr>
        <w:lastRenderedPageBreak/>
        <w:t xml:space="preserve">чи несприятливих наслідків, а отже, не враховано положення </w:t>
      </w:r>
      <w:r w:rsidRPr="005019BE">
        <w:rPr>
          <w:i/>
          <w:color w:val="000000" w:themeColor="text1"/>
          <w:u w:val="single"/>
        </w:rPr>
        <w:t>статей 15 – 17 Директиви 2019/1152</w:t>
      </w:r>
      <w:r w:rsidRPr="005019BE">
        <w:rPr>
          <w:color w:val="000000" w:themeColor="text1"/>
          <w:u w:val="single"/>
        </w:rPr>
        <w:t>, якими передбачене існування таких механізмів</w:t>
      </w:r>
      <w:r w:rsidRPr="005019BE">
        <w:rPr>
          <w:color w:val="000000" w:themeColor="text1"/>
        </w:rPr>
        <w:t xml:space="preserve">.   </w:t>
      </w:r>
    </w:p>
    <w:p w14:paraId="236F29C1" w14:textId="77777777" w:rsidR="00927B14" w:rsidRPr="005019BE" w:rsidRDefault="00927B14" w:rsidP="00927B14">
      <w:pPr>
        <w:ind w:firstLine="567"/>
        <w:jc w:val="both"/>
      </w:pPr>
      <w:r w:rsidRPr="005019BE">
        <w:rPr>
          <w:color w:val="000000" w:themeColor="text1"/>
        </w:rPr>
        <w:t xml:space="preserve">У проєкті Закону також не знайшли належного врахування положення </w:t>
      </w:r>
      <w:r w:rsidRPr="005019BE">
        <w:rPr>
          <w:i/>
          <w:color w:val="000000" w:themeColor="text1"/>
        </w:rPr>
        <w:t>Директиви Ради 2001/23/ЄС</w:t>
      </w:r>
      <w:r w:rsidRPr="005019BE">
        <w:rPr>
          <w:color w:val="000000" w:themeColor="text1"/>
        </w:rPr>
        <w:t>,</w:t>
      </w:r>
      <w:r w:rsidRPr="005019BE">
        <w:rPr>
          <w:i/>
          <w:color w:val="000000" w:themeColor="text1"/>
        </w:rPr>
        <w:t xml:space="preserve"> </w:t>
      </w:r>
      <w:r w:rsidRPr="005019BE">
        <w:rPr>
          <w:color w:val="000000" w:themeColor="text1"/>
        </w:rPr>
        <w:t xml:space="preserve">зокрема, </w:t>
      </w:r>
      <w:r w:rsidRPr="005019BE">
        <w:rPr>
          <w:i/>
          <w:color w:val="000000" w:themeColor="text1"/>
        </w:rPr>
        <w:t>статті 1 – 4, 7</w:t>
      </w:r>
      <w:r w:rsidRPr="005019BE">
        <w:rPr>
          <w:color w:val="000000" w:themeColor="text1"/>
        </w:rPr>
        <w:t xml:space="preserve"> цієї директиви. Так, наприклад, </w:t>
      </w:r>
      <w:proofErr w:type="spellStart"/>
      <w:r w:rsidRPr="005019BE">
        <w:rPr>
          <w:color w:val="000000" w:themeColor="text1"/>
        </w:rPr>
        <w:t>законопроєктом</w:t>
      </w:r>
      <w:proofErr w:type="spellEnd"/>
      <w:r w:rsidRPr="005019BE">
        <w:rPr>
          <w:color w:val="000000" w:themeColor="text1"/>
        </w:rPr>
        <w:t xml:space="preserve"> пропонується доповнити </w:t>
      </w:r>
      <w:r w:rsidRPr="005019BE">
        <w:rPr>
          <w:noProof/>
          <w:color w:val="000000" w:themeColor="text1"/>
        </w:rPr>
        <w:t>Кодекс законів про працю України новою статтею 36</w:t>
      </w:r>
      <w:r w:rsidRPr="005019BE">
        <w:rPr>
          <w:noProof/>
          <w:color w:val="000000" w:themeColor="text1"/>
          <w:vertAlign w:val="superscript"/>
        </w:rPr>
        <w:t>1</w:t>
      </w:r>
      <w:r w:rsidRPr="005019BE">
        <w:rPr>
          <w:noProof/>
          <w:color w:val="000000" w:themeColor="text1"/>
        </w:rPr>
        <w:t xml:space="preserve">, частина третя якої </w:t>
      </w:r>
      <w:r w:rsidRPr="005019BE">
        <w:rPr>
          <w:color w:val="000000" w:themeColor="text1"/>
        </w:rPr>
        <w:t xml:space="preserve">передбачає, що «у разі правонаступництва трудові відносини працівників продовжуються з правонаступником». Однак, </w:t>
      </w:r>
      <w:r w:rsidRPr="005019BE">
        <w:rPr>
          <w:color w:val="000000" w:themeColor="text1"/>
          <w:u w:val="single"/>
        </w:rPr>
        <w:t xml:space="preserve">у законопроєкті не закріплено принцип, що права та обов’язки, не лише просте існування трудових відносин, переходять до правонаступника, як це випливає зі </w:t>
      </w:r>
      <w:r w:rsidRPr="005019BE">
        <w:rPr>
          <w:i/>
          <w:color w:val="000000" w:themeColor="text1"/>
          <w:u w:val="single"/>
        </w:rPr>
        <w:t>статті 3</w:t>
      </w:r>
      <w:r w:rsidRPr="005019BE">
        <w:rPr>
          <w:color w:val="000000" w:themeColor="text1"/>
          <w:u w:val="single"/>
        </w:rPr>
        <w:t xml:space="preserve"> </w:t>
      </w:r>
      <w:r w:rsidRPr="005019BE">
        <w:rPr>
          <w:i/>
          <w:color w:val="000000" w:themeColor="text1"/>
          <w:u w:val="single"/>
        </w:rPr>
        <w:t>Директиви Ради 2001/23/ЄС</w:t>
      </w:r>
      <w:r w:rsidRPr="005019BE">
        <w:rPr>
          <w:color w:val="000000" w:themeColor="text1"/>
        </w:rPr>
        <w:t xml:space="preserve">, в частині першій якої зазначено, що права і обов’язки </w:t>
      </w:r>
      <w:proofErr w:type="spellStart"/>
      <w:r w:rsidRPr="005019BE">
        <w:rPr>
          <w:color w:val="000000" w:themeColor="text1"/>
        </w:rPr>
        <w:t>цедента</w:t>
      </w:r>
      <w:proofErr w:type="spellEnd"/>
      <w:r w:rsidRPr="005019BE">
        <w:rPr>
          <w:color w:val="000000" w:themeColor="text1"/>
        </w:rPr>
        <w:t xml:space="preserve"> (первинного роботодавця), що є результатом трудового договору або відносин зайнятості, що існують у день передачі, в силу такої передачі, передаються </w:t>
      </w:r>
      <w:proofErr w:type="spellStart"/>
      <w:r w:rsidRPr="005019BE">
        <w:rPr>
          <w:color w:val="000000" w:themeColor="text1"/>
        </w:rPr>
        <w:t>цессіонарію</w:t>
      </w:r>
      <w:proofErr w:type="spellEnd"/>
      <w:r w:rsidRPr="005019BE">
        <w:rPr>
          <w:color w:val="000000" w:themeColor="text1"/>
        </w:rPr>
        <w:t xml:space="preserve"> (правонаступнику у трудових відносинах і новому роботодавцеві). </w:t>
      </w:r>
      <w:r w:rsidRPr="005019BE">
        <w:rPr>
          <w:color w:val="000000" w:themeColor="text1"/>
          <w:u w:val="single"/>
        </w:rPr>
        <w:t>Цей принцип є важливим для гарантування того, що передача сама собою не використовується як спосіб погіршити становище працівника</w:t>
      </w:r>
      <w:r w:rsidRPr="005019BE">
        <w:rPr>
          <w:color w:val="000000" w:themeColor="text1"/>
        </w:rPr>
        <w:t xml:space="preserve">. </w:t>
      </w:r>
      <w:r w:rsidRPr="005019BE">
        <w:t xml:space="preserve">В частині понятійного апарату частину першу і другу статті </w:t>
      </w:r>
      <w:r w:rsidRPr="005019BE">
        <w:rPr>
          <w:noProof/>
          <w:color w:val="000000" w:themeColor="text1"/>
        </w:rPr>
        <w:t>36</w:t>
      </w:r>
      <w:r w:rsidRPr="005019BE">
        <w:rPr>
          <w:noProof/>
          <w:color w:val="000000" w:themeColor="text1"/>
          <w:vertAlign w:val="superscript"/>
        </w:rPr>
        <w:t>1</w:t>
      </w:r>
      <w:r w:rsidRPr="005019BE">
        <w:t xml:space="preserve">, якою у </w:t>
      </w:r>
      <w:r w:rsidRPr="005019BE">
        <w:rPr>
          <w:color w:val="000000" w:themeColor="text1"/>
        </w:rPr>
        <w:t xml:space="preserve">законопроєкті пропонується доповнити </w:t>
      </w:r>
      <w:r w:rsidRPr="005019BE">
        <w:rPr>
          <w:noProof/>
          <w:color w:val="000000" w:themeColor="text1"/>
        </w:rPr>
        <w:t>Кодекс законів про працю України,</w:t>
      </w:r>
      <w:r w:rsidRPr="005019BE">
        <w:t xml:space="preserve"> слід краще узгодити з положеннями </w:t>
      </w:r>
      <w:r w:rsidRPr="005019BE">
        <w:rPr>
          <w:i/>
        </w:rPr>
        <w:t>статей 1</w:t>
      </w:r>
      <w:r w:rsidRPr="005019BE">
        <w:t xml:space="preserve"> і </w:t>
      </w:r>
      <w:r w:rsidRPr="005019BE">
        <w:rPr>
          <w:i/>
        </w:rPr>
        <w:t>2</w:t>
      </w:r>
      <w:r w:rsidRPr="005019BE">
        <w:t xml:space="preserve"> </w:t>
      </w:r>
      <w:r w:rsidRPr="005019BE">
        <w:rPr>
          <w:i/>
          <w:color w:val="000000" w:themeColor="text1"/>
        </w:rPr>
        <w:t>Директиви Ради 2001/23/ЄС</w:t>
      </w:r>
      <w:r w:rsidRPr="005019BE">
        <w:t xml:space="preserve">, а у четвертій і п’ятій частинах згаданої статті законопроєкту належним чином врахувати положення </w:t>
      </w:r>
      <w:r w:rsidRPr="005019BE">
        <w:rPr>
          <w:i/>
        </w:rPr>
        <w:t>статті 7</w:t>
      </w:r>
      <w:r w:rsidRPr="005019BE">
        <w:t xml:space="preserve"> </w:t>
      </w:r>
      <w:r w:rsidRPr="005019BE">
        <w:rPr>
          <w:i/>
          <w:color w:val="000000" w:themeColor="text1"/>
        </w:rPr>
        <w:t>Директиви Ради 2001/23/ЄС.</w:t>
      </w:r>
      <w:r w:rsidRPr="005019BE">
        <w:t xml:space="preserve">  </w:t>
      </w:r>
    </w:p>
    <w:p w14:paraId="7AA18C3A" w14:textId="77777777" w:rsidR="00927B14" w:rsidRPr="005019BE" w:rsidRDefault="00927B14" w:rsidP="00927B14">
      <w:pPr>
        <w:ind w:firstLine="567"/>
        <w:jc w:val="both"/>
        <w:rPr>
          <w:color w:val="000000" w:themeColor="text1"/>
        </w:rPr>
      </w:pPr>
      <w:r w:rsidRPr="005019BE">
        <w:t>Також слід зазначити, що Європейський Парламент у своїй резолюції від 11 лютого 2021 року щодо імплементації Угоди про асоціацію між Україною та Європейським Союзом</w:t>
      </w:r>
      <w:r w:rsidRPr="005019BE">
        <w:rPr>
          <w:rStyle w:val="a8"/>
        </w:rPr>
        <w:footnoteReference w:id="7"/>
      </w:r>
      <w:r w:rsidRPr="005019BE">
        <w:t xml:space="preserve"> закликав Уряд України «запровадити стимули і санкції для подолання </w:t>
      </w:r>
      <w:proofErr w:type="spellStart"/>
      <w:r w:rsidRPr="005019BE">
        <w:t>сумнозвісно</w:t>
      </w:r>
      <w:proofErr w:type="spellEnd"/>
      <w:r w:rsidRPr="005019BE">
        <w:t xml:space="preserve"> масштабної зайнятості у неформальному секторі» (пункт 107). Крім того, Європейський Парламент закликав Раду асоціації «</w:t>
      </w:r>
      <w:r w:rsidRPr="005019BE">
        <w:rPr>
          <w:iCs/>
        </w:rPr>
        <w:t>надати пріоритетного значення імплементації міжнародних стандартів з питань праці і законодавства ЄС та практики (...), аби забезпечити збалансованість інтересів соціальних партнерів і захисту прав найманих працівників відповідно до положень Угоди про асоціацію (статті 419</w:t>
      </w:r>
      <w:r w:rsidRPr="005019BE">
        <w:rPr>
          <w:i/>
          <w:color w:val="000000" w:themeColor="text1"/>
        </w:rPr>
        <w:t xml:space="preserve">– </w:t>
      </w:r>
      <w:r w:rsidRPr="005019BE">
        <w:rPr>
          <w:iCs/>
        </w:rPr>
        <w:t>421 і 424) та конвенцій  МОП (81, 87, 98, 117, 122, 129, 144, 154 і 173</w:t>
      </w:r>
      <w:r w:rsidRPr="005019BE">
        <w:t xml:space="preserve">)», </w:t>
      </w:r>
      <w:r w:rsidRPr="005019BE">
        <w:rPr>
          <w:iCs/>
        </w:rPr>
        <w:t>а також нагадує Уряду України що</w:t>
      </w:r>
      <w:r w:rsidRPr="005019BE">
        <w:t xml:space="preserve"> «його заходи з покращення бізнес-клімату, залучення прямих інвестицій і сприяння економічному розвитку не можуть реалізовуватися за рахунок обмеження прав працівників та погіршення умов праці» (пункт 110).</w:t>
      </w:r>
    </w:p>
    <w:p w14:paraId="228D9957" w14:textId="77777777" w:rsidR="00927B14" w:rsidRDefault="00927B14" w:rsidP="00927B14">
      <w:pPr>
        <w:pStyle w:val="1"/>
        <w:shd w:val="clear" w:color="auto" w:fill="auto"/>
        <w:tabs>
          <w:tab w:val="left" w:pos="851"/>
        </w:tabs>
        <w:spacing w:line="240" w:lineRule="auto"/>
        <w:ind w:right="23" w:firstLine="567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019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Враховуючи все вищевикладене, необхідно зазначити, що проєкт Закону </w:t>
      </w:r>
      <w:r w:rsidRPr="005019BE">
        <w:rPr>
          <w:rFonts w:ascii="Times New Roman" w:hAnsi="Times New Roman"/>
          <w:color w:val="000000" w:themeColor="text1"/>
          <w:sz w:val="28"/>
          <w:szCs w:val="28"/>
        </w:rPr>
        <w:t xml:space="preserve">потребує суттєвого доопрацювання з метою більш повного врахування та належної імплементації положень </w:t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</w:rPr>
        <w:t>Директиви 2019/1152</w:t>
      </w:r>
      <w:r w:rsidRPr="005019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</w:rPr>
        <w:t>Директиви Ради 2001/23/ЄС</w:t>
      </w:r>
      <w:r w:rsidRPr="005019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</w:rPr>
        <w:t>Директиви Ради 2002/14/ЄС</w:t>
      </w:r>
      <w:r w:rsidRPr="005019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</w:rPr>
        <w:t>Директиви Ради 89/391/ЄЕС</w:t>
      </w:r>
      <w:r w:rsidRPr="005019BE">
        <w:rPr>
          <w:rFonts w:ascii="Times New Roman" w:hAnsi="Times New Roman"/>
          <w:color w:val="000000" w:themeColor="text1"/>
          <w:sz w:val="28"/>
          <w:szCs w:val="28"/>
        </w:rPr>
        <w:t xml:space="preserve">, а також </w:t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рекомендації МОП № 198 </w:t>
      </w:r>
      <w:r w:rsidRPr="005019BE">
        <w:rPr>
          <w:rFonts w:ascii="Times New Roman" w:hAnsi="Times New Roman"/>
          <w:iCs/>
          <w:color w:val="000000" w:themeColor="text1"/>
          <w:sz w:val="28"/>
          <w:szCs w:val="28"/>
        </w:rPr>
        <w:t>та</w:t>
      </w:r>
      <w:r w:rsidRPr="005019B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конвенцій МОП №№ 81, 129, 155.</w:t>
      </w:r>
    </w:p>
    <w:p w14:paraId="2D405348" w14:textId="77777777" w:rsidR="00927B14" w:rsidRPr="005019BE" w:rsidRDefault="00927B14" w:rsidP="00927B14">
      <w:pPr>
        <w:pStyle w:val="1"/>
        <w:shd w:val="clear" w:color="auto" w:fill="auto"/>
        <w:tabs>
          <w:tab w:val="left" w:pos="851"/>
        </w:tabs>
        <w:spacing w:line="240" w:lineRule="auto"/>
        <w:ind w:right="23" w:firstLine="567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17C7BF3C" w14:textId="77777777" w:rsidR="00927B14" w:rsidRPr="005019BE" w:rsidRDefault="00927B14" w:rsidP="00927B14">
      <w:pPr>
        <w:ind w:firstLine="539"/>
        <w:jc w:val="both"/>
        <w:rPr>
          <w:bCs/>
        </w:rPr>
      </w:pPr>
      <w:r w:rsidRPr="005019BE">
        <w:rPr>
          <w:rFonts w:eastAsia="Verdana"/>
          <w:b/>
          <w:bCs/>
        </w:rPr>
        <w:lastRenderedPageBreak/>
        <w:t>4.</w:t>
      </w:r>
      <w:r w:rsidRPr="005019BE">
        <w:rPr>
          <w:rFonts w:eastAsia="Verdana"/>
          <w:bCs/>
        </w:rPr>
        <w:t>   </w:t>
      </w:r>
      <w:r w:rsidRPr="005019BE">
        <w:rPr>
          <w:b/>
        </w:rPr>
        <w:t xml:space="preserve">Висновок Комітету з питань інтеграції України до Європейського Союзу. </w:t>
      </w:r>
    </w:p>
    <w:p w14:paraId="65001E9C" w14:textId="77777777" w:rsidR="00927B14" w:rsidRPr="005019BE" w:rsidRDefault="00927B14" w:rsidP="00927B14">
      <w:pPr>
        <w:ind w:firstLine="567"/>
        <w:jc w:val="both"/>
        <w:rPr>
          <w:color w:val="FF0000"/>
        </w:rPr>
      </w:pPr>
      <w:r w:rsidRPr="005019BE">
        <w:t xml:space="preserve">Проєкт Закону потребує </w:t>
      </w:r>
      <w:r w:rsidRPr="005019BE">
        <w:rPr>
          <w:b/>
        </w:rPr>
        <w:t>суттєвого доопрацювання</w:t>
      </w:r>
      <w:r w:rsidRPr="005019BE">
        <w:t xml:space="preserve"> задля приведення у відповідність до права </w:t>
      </w:r>
      <w:r w:rsidRPr="002E3C46">
        <w:t xml:space="preserve">Європейського Союзу </w:t>
      </w:r>
      <w:r w:rsidRPr="002E3C46">
        <w:rPr>
          <w:color w:val="000000" w:themeColor="text1"/>
        </w:rPr>
        <w:t xml:space="preserve">та врахування вимог </w:t>
      </w:r>
      <w:r w:rsidRPr="002E3C46">
        <w:t xml:space="preserve">резолюції Європейського Парламенту від 11 лютого 2021 року щодо імплементації Угоди про асоціацію. Зокрема, необхідним є </w:t>
      </w:r>
      <w:r w:rsidRPr="002E3C46">
        <w:rPr>
          <w:b/>
        </w:rPr>
        <w:t>повне врахування</w:t>
      </w:r>
      <w:r w:rsidRPr="002E3C46">
        <w:t xml:space="preserve"> та </w:t>
      </w:r>
      <w:r w:rsidRPr="002E3C46">
        <w:rPr>
          <w:b/>
        </w:rPr>
        <w:t>належна імплементація</w:t>
      </w:r>
      <w:r w:rsidRPr="002E3C46">
        <w:t xml:space="preserve"> положень </w:t>
      </w:r>
      <w:r w:rsidRPr="002E3C46">
        <w:rPr>
          <w:color w:val="000000" w:themeColor="text1"/>
        </w:rPr>
        <w:t>Директиви 2019/1152, Директиви</w:t>
      </w:r>
      <w:r w:rsidRPr="005019BE">
        <w:rPr>
          <w:color w:val="000000" w:themeColor="text1"/>
        </w:rPr>
        <w:t xml:space="preserve"> Ради 2001/23/ЄС, Директиви 2002/14/ЄС, Директиви Ради 89/391/ЄЕС, а також рекомендації МОП № 198 та к</w:t>
      </w:r>
      <w:r w:rsidRPr="005019BE">
        <w:rPr>
          <w:noProof/>
        </w:rPr>
        <w:t>онвенцій МОП №№ 81, 129, 155.</w:t>
      </w:r>
    </w:p>
    <w:p w14:paraId="1EC0D348" w14:textId="1B83E5AB" w:rsidR="00184D88" w:rsidRPr="0022595E" w:rsidRDefault="00184D88" w:rsidP="001E5343">
      <w:pPr>
        <w:ind w:firstLine="567"/>
        <w:jc w:val="both"/>
        <w:rPr>
          <w:color w:val="FF0000"/>
        </w:rPr>
      </w:pPr>
      <w:bookmarkStart w:id="7" w:name="_GoBack"/>
      <w:bookmarkEnd w:id="7"/>
    </w:p>
    <w:sectPr w:rsidR="00184D88" w:rsidRPr="0022595E" w:rsidSect="00AE1F17">
      <w:footerReference w:type="even" r:id="rId8"/>
      <w:footerReference w:type="default" r:id="rId9"/>
      <w:pgSz w:w="11906" w:h="16838"/>
      <w:pgMar w:top="1079" w:right="746" w:bottom="1276" w:left="1260" w:header="708" w:footer="9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9FD8" w14:textId="77777777" w:rsidR="005548F8" w:rsidRDefault="005548F8" w:rsidP="00B766E4">
      <w:r>
        <w:separator/>
      </w:r>
    </w:p>
  </w:endnote>
  <w:endnote w:type="continuationSeparator" w:id="0">
    <w:p w14:paraId="54E00B0B" w14:textId="77777777" w:rsidR="005548F8" w:rsidRDefault="005548F8" w:rsidP="00B7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786B" w14:textId="77777777" w:rsidR="004F7759" w:rsidRDefault="004F7759" w:rsidP="004F7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B164E8" w14:textId="77777777" w:rsidR="004F7759" w:rsidRDefault="004F77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E596" w14:textId="46C1371B" w:rsidR="004F7759" w:rsidRDefault="004F7759" w:rsidP="004F7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B14">
      <w:rPr>
        <w:rStyle w:val="a5"/>
        <w:noProof/>
      </w:rPr>
      <w:t>7</w:t>
    </w:r>
    <w:r>
      <w:rPr>
        <w:rStyle w:val="a5"/>
      </w:rPr>
      <w:fldChar w:fldCharType="end"/>
    </w:r>
  </w:p>
  <w:p w14:paraId="21C5A627" w14:textId="77777777" w:rsidR="004F7759" w:rsidRDefault="004F77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3ED2" w14:textId="77777777" w:rsidR="005548F8" w:rsidRDefault="005548F8" w:rsidP="00B766E4">
      <w:r>
        <w:separator/>
      </w:r>
    </w:p>
  </w:footnote>
  <w:footnote w:type="continuationSeparator" w:id="0">
    <w:p w14:paraId="1D3BB7FC" w14:textId="77777777" w:rsidR="005548F8" w:rsidRDefault="005548F8" w:rsidP="00B766E4">
      <w:r>
        <w:continuationSeparator/>
      </w:r>
    </w:p>
  </w:footnote>
  <w:footnote w:id="1">
    <w:p w14:paraId="50A34141" w14:textId="77777777" w:rsidR="00927B14" w:rsidRPr="00166453" w:rsidRDefault="00927B14" w:rsidP="00927B14">
      <w:pPr>
        <w:pStyle w:val="a6"/>
        <w:jc w:val="both"/>
        <w:rPr>
          <w:sz w:val="24"/>
          <w:szCs w:val="24"/>
        </w:rPr>
      </w:pPr>
      <w:r w:rsidRPr="00166453">
        <w:rPr>
          <w:rStyle w:val="a8"/>
          <w:sz w:val="24"/>
          <w:szCs w:val="24"/>
        </w:rPr>
        <w:footnoteRef/>
      </w:r>
      <w:r>
        <w:t xml:space="preserve"> </w:t>
      </w:r>
      <w:r w:rsidRPr="00166453">
        <w:rPr>
          <w:b/>
          <w:i/>
          <w:sz w:val="24"/>
          <w:szCs w:val="24"/>
        </w:rPr>
        <w:t>Довідково:</w:t>
      </w:r>
      <w:r w:rsidRPr="00166453">
        <w:rPr>
          <w:sz w:val="24"/>
          <w:szCs w:val="24"/>
        </w:rPr>
        <w:t xml:space="preserve"> станом на 31.03.2020 р. для України є чинними 63 конвенції МОП, включно з 8 основоположними і 4 пріоритетними конвенціями МОП / Офіційний сайт Міжнародної організації праці. – [Електронний ресурс]. – Режим доступу:  </w:t>
      </w:r>
      <w:hyperlink r:id="rId1" w:history="1">
        <w:r w:rsidRPr="00166453">
          <w:rPr>
            <w:rStyle w:val="ab"/>
            <w:sz w:val="24"/>
            <w:szCs w:val="24"/>
          </w:rPr>
          <w:t>https://www.ilo.org/dyn/normlex/en/f?p=1000:11200:0::NO:11200:P11200_COUNTRY_ID:102867</w:t>
        </w:r>
      </w:hyperlink>
      <w:r w:rsidRPr="00166453">
        <w:rPr>
          <w:sz w:val="24"/>
          <w:szCs w:val="24"/>
        </w:rPr>
        <w:t xml:space="preserve">  </w:t>
      </w:r>
    </w:p>
  </w:footnote>
  <w:footnote w:id="2">
    <w:p w14:paraId="220B3AC0" w14:textId="77777777" w:rsidR="00927B14" w:rsidRDefault="00927B14" w:rsidP="00927B14">
      <w:pPr>
        <w:pStyle w:val="a6"/>
        <w:jc w:val="both"/>
      </w:pPr>
      <w:r w:rsidRPr="00166453">
        <w:rPr>
          <w:rStyle w:val="a8"/>
          <w:sz w:val="24"/>
          <w:szCs w:val="24"/>
        </w:rPr>
        <w:footnoteRef/>
      </w:r>
      <w:r w:rsidRPr="00166453">
        <w:rPr>
          <w:sz w:val="24"/>
          <w:szCs w:val="24"/>
        </w:rPr>
        <w:t xml:space="preserve"> </w:t>
      </w:r>
      <w:r w:rsidRPr="00166453">
        <w:rPr>
          <w:sz w:val="24"/>
          <w:szCs w:val="24"/>
        </w:rPr>
        <w:t xml:space="preserve">Хартія була відкрита для підписання державами-членами Ради Європи у </w:t>
      </w:r>
      <w:proofErr w:type="spellStart"/>
      <w:r w:rsidRPr="00166453">
        <w:rPr>
          <w:sz w:val="24"/>
          <w:szCs w:val="24"/>
        </w:rPr>
        <w:t>Турині</w:t>
      </w:r>
      <w:proofErr w:type="spellEnd"/>
      <w:r w:rsidRPr="00166453">
        <w:rPr>
          <w:sz w:val="24"/>
          <w:szCs w:val="24"/>
        </w:rPr>
        <w:t xml:space="preserve"> 1961 р., набула чинності 1965 р., була переглянута 1996 р. Україна підписала Європейську соціальну хартію (переглянуту) 1999 р., ратифікувала (із заявами) 14.09.2006 р. – Закон України «Про ратифікацію Європейської соціальної хартії (переглянутої)» від 14.09.2006 № 137-V.</w:t>
      </w:r>
    </w:p>
  </w:footnote>
  <w:footnote w:id="3">
    <w:p w14:paraId="23D98CF3" w14:textId="77777777" w:rsidR="00927B14" w:rsidRPr="00FD4292" w:rsidRDefault="00927B14" w:rsidP="00927B14">
      <w:pPr>
        <w:pStyle w:val="a6"/>
        <w:jc w:val="both"/>
        <w:rPr>
          <w:sz w:val="24"/>
          <w:szCs w:val="24"/>
        </w:rPr>
      </w:pPr>
      <w:r w:rsidRPr="00FD4292">
        <w:rPr>
          <w:rStyle w:val="a8"/>
          <w:sz w:val="24"/>
          <w:szCs w:val="24"/>
        </w:rPr>
        <w:footnoteRef/>
      </w:r>
      <w:r w:rsidRPr="00FD4292">
        <w:rPr>
          <w:sz w:val="24"/>
          <w:szCs w:val="24"/>
        </w:rPr>
        <w:t xml:space="preserve"> </w:t>
      </w:r>
      <w:r w:rsidRPr="00FD4292">
        <w:rPr>
          <w:sz w:val="24"/>
          <w:szCs w:val="24"/>
        </w:rPr>
        <w:t xml:space="preserve">Рекомендація МОП № 198 про трудові відносини, 2006 р. / Офіційний сайт Міжнародної організації праці. – [Електронний ресурс]. – Режим доступу: </w:t>
      </w:r>
      <w:hyperlink r:id="rId2" w:history="1">
        <w:r w:rsidRPr="00FD4292">
          <w:rPr>
            <w:rStyle w:val="ab"/>
            <w:sz w:val="24"/>
            <w:szCs w:val="24"/>
          </w:rPr>
          <w:t>https://www.ilo.org/dyn/normlex/en/f?p=NORMLEXPUB:12100:0::NO::P12100_INSTRUMENT_ID:312535</w:t>
        </w:r>
      </w:hyperlink>
    </w:p>
  </w:footnote>
  <w:footnote w:id="4">
    <w:p w14:paraId="6C011EC4" w14:textId="77777777" w:rsidR="00927B14" w:rsidRPr="00FD4292" w:rsidRDefault="00927B14" w:rsidP="00927B14">
      <w:pPr>
        <w:pStyle w:val="a6"/>
        <w:jc w:val="both"/>
        <w:rPr>
          <w:sz w:val="24"/>
          <w:szCs w:val="24"/>
        </w:rPr>
      </w:pPr>
      <w:r w:rsidRPr="00FD4292">
        <w:rPr>
          <w:rStyle w:val="a8"/>
          <w:sz w:val="24"/>
          <w:szCs w:val="24"/>
        </w:rPr>
        <w:footnoteRef/>
      </w:r>
      <w:r w:rsidRPr="00FD4292">
        <w:rPr>
          <w:sz w:val="24"/>
          <w:szCs w:val="24"/>
        </w:rPr>
        <w:t xml:space="preserve"> </w:t>
      </w:r>
      <w:r w:rsidRPr="00FD4292">
        <w:rPr>
          <w:sz w:val="24"/>
          <w:szCs w:val="24"/>
        </w:rPr>
        <w:t>Конвенція МОП № 81 про інспекцію праці у промисловості й торгівлі, 1947 р. Ратифікована Україною 08.09.2004 р.</w:t>
      </w:r>
    </w:p>
  </w:footnote>
  <w:footnote w:id="5">
    <w:p w14:paraId="020632E7" w14:textId="77777777" w:rsidR="00927B14" w:rsidRPr="00FD4292" w:rsidRDefault="00927B14" w:rsidP="00927B14">
      <w:pPr>
        <w:pStyle w:val="a6"/>
        <w:jc w:val="both"/>
        <w:rPr>
          <w:sz w:val="24"/>
          <w:szCs w:val="24"/>
        </w:rPr>
      </w:pPr>
      <w:r w:rsidRPr="00FD4292">
        <w:rPr>
          <w:rStyle w:val="a8"/>
          <w:sz w:val="24"/>
          <w:szCs w:val="24"/>
        </w:rPr>
        <w:footnoteRef/>
      </w:r>
      <w:r w:rsidRPr="00FD4292">
        <w:rPr>
          <w:sz w:val="24"/>
          <w:szCs w:val="24"/>
        </w:rPr>
        <w:t xml:space="preserve"> </w:t>
      </w:r>
      <w:r w:rsidRPr="00FD4292">
        <w:rPr>
          <w:sz w:val="24"/>
          <w:szCs w:val="24"/>
        </w:rPr>
        <w:t xml:space="preserve">Конвенція МОП № 129 про інспекцію праці в сільському господарстві, 1969 р. Ратифікована Україною 08.09.2004 р. </w:t>
      </w:r>
    </w:p>
  </w:footnote>
  <w:footnote w:id="6">
    <w:p w14:paraId="42DB7866" w14:textId="77777777" w:rsidR="00927B14" w:rsidRDefault="00927B14" w:rsidP="00927B14">
      <w:pPr>
        <w:pStyle w:val="a6"/>
        <w:jc w:val="both"/>
      </w:pPr>
      <w:r w:rsidRPr="00FD4292">
        <w:rPr>
          <w:rStyle w:val="a8"/>
          <w:sz w:val="24"/>
          <w:szCs w:val="24"/>
        </w:rPr>
        <w:footnoteRef/>
      </w:r>
      <w:r w:rsidRPr="00FD4292">
        <w:rPr>
          <w:sz w:val="24"/>
          <w:szCs w:val="24"/>
        </w:rPr>
        <w:t xml:space="preserve"> </w:t>
      </w:r>
      <w:r w:rsidRPr="00FD4292">
        <w:rPr>
          <w:sz w:val="24"/>
          <w:szCs w:val="24"/>
        </w:rPr>
        <w:t>Конвенція МОП № 155 про безпеку й гігієну праці та виробниче середовище, 1981 р. Ратифікована Україною 02.11.2011 р.</w:t>
      </w:r>
      <w:r>
        <w:rPr>
          <w:sz w:val="26"/>
          <w:szCs w:val="26"/>
        </w:rPr>
        <w:t xml:space="preserve"> </w:t>
      </w:r>
    </w:p>
  </w:footnote>
  <w:footnote w:id="7">
    <w:p w14:paraId="78A6A889" w14:textId="77777777" w:rsidR="00927B14" w:rsidRDefault="00927B14" w:rsidP="00927B14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976C3">
        <w:rPr>
          <w:sz w:val="24"/>
          <w:szCs w:val="24"/>
        </w:rPr>
        <w:t>Резолюція Європейського Парламенту від 11 лютого 2021 р</w:t>
      </w:r>
      <w:r>
        <w:rPr>
          <w:sz w:val="24"/>
          <w:szCs w:val="24"/>
        </w:rPr>
        <w:t>оку</w:t>
      </w:r>
      <w:r w:rsidRPr="00D976C3">
        <w:rPr>
          <w:sz w:val="24"/>
          <w:szCs w:val="24"/>
        </w:rPr>
        <w:t xml:space="preserve"> щодо імплементації Угоди про асоціацію між Україною </w:t>
      </w:r>
      <w:r>
        <w:rPr>
          <w:sz w:val="24"/>
          <w:szCs w:val="24"/>
        </w:rPr>
        <w:t>та</w:t>
      </w:r>
      <w:r w:rsidRPr="00D976C3">
        <w:rPr>
          <w:sz w:val="24"/>
          <w:szCs w:val="24"/>
        </w:rPr>
        <w:t xml:space="preserve"> Європейським Союзом (2019/2202(</w:t>
      </w:r>
      <w:r w:rsidRPr="00D976C3">
        <w:rPr>
          <w:sz w:val="24"/>
          <w:szCs w:val="24"/>
          <w:lang w:val="en-US"/>
        </w:rPr>
        <w:t>INI</w:t>
      </w:r>
      <w:r w:rsidRPr="00D976C3">
        <w:rPr>
          <w:sz w:val="24"/>
          <w:szCs w:val="24"/>
        </w:rPr>
        <w:t>)</w:t>
      </w:r>
      <w:r>
        <w:rPr>
          <w:sz w:val="24"/>
          <w:szCs w:val="24"/>
        </w:rPr>
        <w:t xml:space="preserve">). </w:t>
      </w:r>
      <w:r w:rsidRPr="00D976C3">
        <w:rPr>
          <w:sz w:val="24"/>
          <w:szCs w:val="24"/>
        </w:rPr>
        <w:t>– [Електронний ресурс]. – Режим доступу:</w:t>
      </w:r>
      <w:r>
        <w:rPr>
          <w:sz w:val="24"/>
          <w:szCs w:val="24"/>
        </w:rPr>
        <w:t xml:space="preserve"> </w:t>
      </w:r>
      <w:hyperlink r:id="rId3" w:history="1">
        <w:r w:rsidRPr="009F2900">
          <w:rPr>
            <w:rStyle w:val="ab"/>
            <w:sz w:val="24"/>
            <w:szCs w:val="24"/>
          </w:rPr>
          <w:t>https://www.europarl.europa.eu/doceo/document/TA-9-2021-0050_EN.html</w:t>
        </w:r>
      </w:hyperlink>
      <w:r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70C"/>
    <w:multiLevelType w:val="hybridMultilevel"/>
    <w:tmpl w:val="E638A56C"/>
    <w:lvl w:ilvl="0" w:tplc="B05A1CDC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1667D2"/>
    <w:multiLevelType w:val="hybridMultilevel"/>
    <w:tmpl w:val="C95A016E"/>
    <w:lvl w:ilvl="0" w:tplc="32F64EDA">
      <w:start w:val="1"/>
      <w:numFmt w:val="decimal"/>
      <w:lvlText w:val="(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D72598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24DFBD8"/>
    <w:multiLevelType w:val="hybridMultilevel"/>
    <w:tmpl w:val="E758EBB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7434DE"/>
    <w:multiLevelType w:val="hybridMultilevel"/>
    <w:tmpl w:val="B85E8FF0"/>
    <w:lvl w:ilvl="0" w:tplc="AD72598C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C24C49"/>
    <w:multiLevelType w:val="hybridMultilevel"/>
    <w:tmpl w:val="C2E691EC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C44E12"/>
    <w:multiLevelType w:val="hybridMultilevel"/>
    <w:tmpl w:val="AAA0333C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A416D1"/>
    <w:multiLevelType w:val="hybridMultilevel"/>
    <w:tmpl w:val="72FC9CBC"/>
    <w:lvl w:ilvl="0" w:tplc="B9F8E3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A3CD450"/>
    <w:multiLevelType w:val="hybridMultilevel"/>
    <w:tmpl w:val="B01C6C3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94E0657"/>
    <w:multiLevelType w:val="hybridMultilevel"/>
    <w:tmpl w:val="E17AB8E4"/>
    <w:lvl w:ilvl="0" w:tplc="AD72598C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E4"/>
    <w:rsid w:val="000056C4"/>
    <w:rsid w:val="00005AC0"/>
    <w:rsid w:val="00023FD8"/>
    <w:rsid w:val="00024599"/>
    <w:rsid w:val="00027C68"/>
    <w:rsid w:val="000507FA"/>
    <w:rsid w:val="00051572"/>
    <w:rsid w:val="00051BCF"/>
    <w:rsid w:val="00056A29"/>
    <w:rsid w:val="00063030"/>
    <w:rsid w:val="000662C7"/>
    <w:rsid w:val="0007523F"/>
    <w:rsid w:val="000930DE"/>
    <w:rsid w:val="00097412"/>
    <w:rsid w:val="000A261B"/>
    <w:rsid w:val="000A277A"/>
    <w:rsid w:val="000A4103"/>
    <w:rsid w:val="000A5484"/>
    <w:rsid w:val="000B474A"/>
    <w:rsid w:val="000B5359"/>
    <w:rsid w:val="000B75A7"/>
    <w:rsid w:val="000C44F3"/>
    <w:rsid w:val="000D1F19"/>
    <w:rsid w:val="000E5EE8"/>
    <w:rsid w:val="000F6C5C"/>
    <w:rsid w:val="00101754"/>
    <w:rsid w:val="00101B4E"/>
    <w:rsid w:val="00102C86"/>
    <w:rsid w:val="00105845"/>
    <w:rsid w:val="001346F8"/>
    <w:rsid w:val="001422E0"/>
    <w:rsid w:val="00142CA7"/>
    <w:rsid w:val="001473D6"/>
    <w:rsid w:val="001644EC"/>
    <w:rsid w:val="00177BED"/>
    <w:rsid w:val="00184D88"/>
    <w:rsid w:val="00187C80"/>
    <w:rsid w:val="00191687"/>
    <w:rsid w:val="00191CA6"/>
    <w:rsid w:val="0019747A"/>
    <w:rsid w:val="001A615E"/>
    <w:rsid w:val="001C03AB"/>
    <w:rsid w:val="001C42C6"/>
    <w:rsid w:val="001C4696"/>
    <w:rsid w:val="001C6004"/>
    <w:rsid w:val="001D1D6A"/>
    <w:rsid w:val="001D60E7"/>
    <w:rsid w:val="001E5343"/>
    <w:rsid w:val="002050E2"/>
    <w:rsid w:val="00207853"/>
    <w:rsid w:val="00217AF2"/>
    <w:rsid w:val="0022287D"/>
    <w:rsid w:val="0022595E"/>
    <w:rsid w:val="002462A8"/>
    <w:rsid w:val="00246A60"/>
    <w:rsid w:val="00262703"/>
    <w:rsid w:val="002641B3"/>
    <w:rsid w:val="00273555"/>
    <w:rsid w:val="00273EFC"/>
    <w:rsid w:val="00284EEE"/>
    <w:rsid w:val="002A1FA0"/>
    <w:rsid w:val="002A69F7"/>
    <w:rsid w:val="002A6A0B"/>
    <w:rsid w:val="002B0A64"/>
    <w:rsid w:val="002B2F29"/>
    <w:rsid w:val="002B391E"/>
    <w:rsid w:val="002B7816"/>
    <w:rsid w:val="002C2D4F"/>
    <w:rsid w:val="002C6AC6"/>
    <w:rsid w:val="002D4224"/>
    <w:rsid w:val="002D63A1"/>
    <w:rsid w:val="002E132B"/>
    <w:rsid w:val="002E66C2"/>
    <w:rsid w:val="002F36BA"/>
    <w:rsid w:val="002F38C1"/>
    <w:rsid w:val="003122D9"/>
    <w:rsid w:val="003125DB"/>
    <w:rsid w:val="00316B10"/>
    <w:rsid w:val="003247A9"/>
    <w:rsid w:val="00335BCB"/>
    <w:rsid w:val="00337DE2"/>
    <w:rsid w:val="00341E2A"/>
    <w:rsid w:val="00343BB7"/>
    <w:rsid w:val="003577A6"/>
    <w:rsid w:val="003657CF"/>
    <w:rsid w:val="003661D3"/>
    <w:rsid w:val="0036750A"/>
    <w:rsid w:val="0037428A"/>
    <w:rsid w:val="00391D79"/>
    <w:rsid w:val="00391F37"/>
    <w:rsid w:val="00392E50"/>
    <w:rsid w:val="003A1218"/>
    <w:rsid w:val="003A4A9C"/>
    <w:rsid w:val="003A744B"/>
    <w:rsid w:val="003B081B"/>
    <w:rsid w:val="003B4F6C"/>
    <w:rsid w:val="003C04AC"/>
    <w:rsid w:val="003C2F34"/>
    <w:rsid w:val="003C39D6"/>
    <w:rsid w:val="003C44DF"/>
    <w:rsid w:val="003C4D82"/>
    <w:rsid w:val="003C4E2C"/>
    <w:rsid w:val="003C638E"/>
    <w:rsid w:val="003D3550"/>
    <w:rsid w:val="003D3C21"/>
    <w:rsid w:val="003E51F9"/>
    <w:rsid w:val="003F7C26"/>
    <w:rsid w:val="00414359"/>
    <w:rsid w:val="00431D0F"/>
    <w:rsid w:val="004449FD"/>
    <w:rsid w:val="0045493A"/>
    <w:rsid w:val="00461217"/>
    <w:rsid w:val="00462EA7"/>
    <w:rsid w:val="004727DC"/>
    <w:rsid w:val="00475306"/>
    <w:rsid w:val="00475BB4"/>
    <w:rsid w:val="00476B11"/>
    <w:rsid w:val="00481007"/>
    <w:rsid w:val="0048145B"/>
    <w:rsid w:val="004975C0"/>
    <w:rsid w:val="004A0844"/>
    <w:rsid w:val="004A0F15"/>
    <w:rsid w:val="004B4048"/>
    <w:rsid w:val="004C1076"/>
    <w:rsid w:val="004C223D"/>
    <w:rsid w:val="004C6CA0"/>
    <w:rsid w:val="004E5F78"/>
    <w:rsid w:val="004F4488"/>
    <w:rsid w:val="004F7759"/>
    <w:rsid w:val="00516F02"/>
    <w:rsid w:val="00524034"/>
    <w:rsid w:val="005532A9"/>
    <w:rsid w:val="005548F8"/>
    <w:rsid w:val="00556D52"/>
    <w:rsid w:val="0056163F"/>
    <w:rsid w:val="00571BC6"/>
    <w:rsid w:val="00571BCD"/>
    <w:rsid w:val="00575EBA"/>
    <w:rsid w:val="00577A72"/>
    <w:rsid w:val="00577E5A"/>
    <w:rsid w:val="0058006E"/>
    <w:rsid w:val="005810CE"/>
    <w:rsid w:val="00581941"/>
    <w:rsid w:val="005938DA"/>
    <w:rsid w:val="00595537"/>
    <w:rsid w:val="00596D5D"/>
    <w:rsid w:val="00597214"/>
    <w:rsid w:val="005A0332"/>
    <w:rsid w:val="005B074D"/>
    <w:rsid w:val="005B48D3"/>
    <w:rsid w:val="005C419F"/>
    <w:rsid w:val="005D0554"/>
    <w:rsid w:val="005D07DC"/>
    <w:rsid w:val="005F3DF4"/>
    <w:rsid w:val="005F6CC9"/>
    <w:rsid w:val="00601D72"/>
    <w:rsid w:val="0060395B"/>
    <w:rsid w:val="00615A0E"/>
    <w:rsid w:val="00622F6B"/>
    <w:rsid w:val="00633242"/>
    <w:rsid w:val="00642164"/>
    <w:rsid w:val="00665ABA"/>
    <w:rsid w:val="00666E86"/>
    <w:rsid w:val="006A7C98"/>
    <w:rsid w:val="006B06D3"/>
    <w:rsid w:val="006B1637"/>
    <w:rsid w:val="006B33A5"/>
    <w:rsid w:val="006B5875"/>
    <w:rsid w:val="006F1217"/>
    <w:rsid w:val="006F4042"/>
    <w:rsid w:val="00700A45"/>
    <w:rsid w:val="00717794"/>
    <w:rsid w:val="007178B5"/>
    <w:rsid w:val="007242C0"/>
    <w:rsid w:val="00724C5C"/>
    <w:rsid w:val="00726932"/>
    <w:rsid w:val="00735239"/>
    <w:rsid w:val="00747CD2"/>
    <w:rsid w:val="00760B49"/>
    <w:rsid w:val="00767202"/>
    <w:rsid w:val="00767F10"/>
    <w:rsid w:val="007720D3"/>
    <w:rsid w:val="007748D5"/>
    <w:rsid w:val="0078111A"/>
    <w:rsid w:val="00782130"/>
    <w:rsid w:val="00786434"/>
    <w:rsid w:val="007C0D6E"/>
    <w:rsid w:val="007C6C34"/>
    <w:rsid w:val="007F29FD"/>
    <w:rsid w:val="008016B3"/>
    <w:rsid w:val="00803C6F"/>
    <w:rsid w:val="008204B1"/>
    <w:rsid w:val="008307B6"/>
    <w:rsid w:val="00833CD2"/>
    <w:rsid w:val="008420D8"/>
    <w:rsid w:val="00870910"/>
    <w:rsid w:val="008728D8"/>
    <w:rsid w:val="00884B9B"/>
    <w:rsid w:val="00891B2F"/>
    <w:rsid w:val="008A0292"/>
    <w:rsid w:val="008A6111"/>
    <w:rsid w:val="008A6E9C"/>
    <w:rsid w:val="008B6BD7"/>
    <w:rsid w:val="008D1D52"/>
    <w:rsid w:val="008D7374"/>
    <w:rsid w:val="008D783D"/>
    <w:rsid w:val="008E4580"/>
    <w:rsid w:val="008F43A4"/>
    <w:rsid w:val="008F50B6"/>
    <w:rsid w:val="0090062C"/>
    <w:rsid w:val="00900B30"/>
    <w:rsid w:val="00901F3F"/>
    <w:rsid w:val="0090493B"/>
    <w:rsid w:val="0090502D"/>
    <w:rsid w:val="00906864"/>
    <w:rsid w:val="00915396"/>
    <w:rsid w:val="00927364"/>
    <w:rsid w:val="00927B14"/>
    <w:rsid w:val="00927D08"/>
    <w:rsid w:val="00931FF5"/>
    <w:rsid w:val="009349DE"/>
    <w:rsid w:val="00934CD5"/>
    <w:rsid w:val="00936087"/>
    <w:rsid w:val="00940FAC"/>
    <w:rsid w:val="009451E7"/>
    <w:rsid w:val="00952A83"/>
    <w:rsid w:val="009571CF"/>
    <w:rsid w:val="00966DF7"/>
    <w:rsid w:val="00974ACA"/>
    <w:rsid w:val="00977816"/>
    <w:rsid w:val="00980F2E"/>
    <w:rsid w:val="00982321"/>
    <w:rsid w:val="009948DE"/>
    <w:rsid w:val="009D01F9"/>
    <w:rsid w:val="009D1D3F"/>
    <w:rsid w:val="009F3209"/>
    <w:rsid w:val="009F4ED4"/>
    <w:rsid w:val="00A04D85"/>
    <w:rsid w:val="00A063CF"/>
    <w:rsid w:val="00A16C7F"/>
    <w:rsid w:val="00A272A3"/>
    <w:rsid w:val="00A30C57"/>
    <w:rsid w:val="00A31169"/>
    <w:rsid w:val="00A31CDE"/>
    <w:rsid w:val="00A724C3"/>
    <w:rsid w:val="00A72EC9"/>
    <w:rsid w:val="00A730AD"/>
    <w:rsid w:val="00A814C4"/>
    <w:rsid w:val="00A923EE"/>
    <w:rsid w:val="00A97415"/>
    <w:rsid w:val="00AC01BE"/>
    <w:rsid w:val="00AE1F17"/>
    <w:rsid w:val="00B1369F"/>
    <w:rsid w:val="00B22F58"/>
    <w:rsid w:val="00B24322"/>
    <w:rsid w:val="00B25BB4"/>
    <w:rsid w:val="00B27F22"/>
    <w:rsid w:val="00B33BB2"/>
    <w:rsid w:val="00B40026"/>
    <w:rsid w:val="00B47E76"/>
    <w:rsid w:val="00B54546"/>
    <w:rsid w:val="00B6095F"/>
    <w:rsid w:val="00B64239"/>
    <w:rsid w:val="00B6586C"/>
    <w:rsid w:val="00B766E4"/>
    <w:rsid w:val="00B825CA"/>
    <w:rsid w:val="00B871BA"/>
    <w:rsid w:val="00B96E29"/>
    <w:rsid w:val="00BB206A"/>
    <w:rsid w:val="00BB5DCA"/>
    <w:rsid w:val="00BB60C2"/>
    <w:rsid w:val="00BC79FF"/>
    <w:rsid w:val="00BD680E"/>
    <w:rsid w:val="00BE4202"/>
    <w:rsid w:val="00BF0C86"/>
    <w:rsid w:val="00BF1171"/>
    <w:rsid w:val="00BF4436"/>
    <w:rsid w:val="00BF566A"/>
    <w:rsid w:val="00BF72A6"/>
    <w:rsid w:val="00C2141B"/>
    <w:rsid w:val="00C21A56"/>
    <w:rsid w:val="00C23361"/>
    <w:rsid w:val="00C408E5"/>
    <w:rsid w:val="00C41380"/>
    <w:rsid w:val="00C43AF4"/>
    <w:rsid w:val="00C45993"/>
    <w:rsid w:val="00C47831"/>
    <w:rsid w:val="00C72AF5"/>
    <w:rsid w:val="00C9507E"/>
    <w:rsid w:val="00C9685E"/>
    <w:rsid w:val="00CB6C1C"/>
    <w:rsid w:val="00CC27F8"/>
    <w:rsid w:val="00CC3E1B"/>
    <w:rsid w:val="00CD6FAA"/>
    <w:rsid w:val="00CE245B"/>
    <w:rsid w:val="00CE2FFA"/>
    <w:rsid w:val="00CE66D5"/>
    <w:rsid w:val="00CE789F"/>
    <w:rsid w:val="00CF1D55"/>
    <w:rsid w:val="00CF20C6"/>
    <w:rsid w:val="00CF5563"/>
    <w:rsid w:val="00D22DAE"/>
    <w:rsid w:val="00D32645"/>
    <w:rsid w:val="00D52E71"/>
    <w:rsid w:val="00D7212E"/>
    <w:rsid w:val="00D72515"/>
    <w:rsid w:val="00D75668"/>
    <w:rsid w:val="00D80C64"/>
    <w:rsid w:val="00D839AE"/>
    <w:rsid w:val="00D8565E"/>
    <w:rsid w:val="00D91151"/>
    <w:rsid w:val="00D912B8"/>
    <w:rsid w:val="00DA2E5E"/>
    <w:rsid w:val="00DA3DAF"/>
    <w:rsid w:val="00DB779E"/>
    <w:rsid w:val="00DB7E70"/>
    <w:rsid w:val="00DC192E"/>
    <w:rsid w:val="00DC2A65"/>
    <w:rsid w:val="00DC2E69"/>
    <w:rsid w:val="00DD0A33"/>
    <w:rsid w:val="00DD1467"/>
    <w:rsid w:val="00DE050F"/>
    <w:rsid w:val="00E04789"/>
    <w:rsid w:val="00E05591"/>
    <w:rsid w:val="00E142DD"/>
    <w:rsid w:val="00E15EFE"/>
    <w:rsid w:val="00E2307B"/>
    <w:rsid w:val="00E27ACA"/>
    <w:rsid w:val="00E42F61"/>
    <w:rsid w:val="00E44302"/>
    <w:rsid w:val="00E517BC"/>
    <w:rsid w:val="00E53602"/>
    <w:rsid w:val="00E560AC"/>
    <w:rsid w:val="00E568C8"/>
    <w:rsid w:val="00E643AC"/>
    <w:rsid w:val="00E811A5"/>
    <w:rsid w:val="00E97437"/>
    <w:rsid w:val="00EA0FB1"/>
    <w:rsid w:val="00EA507B"/>
    <w:rsid w:val="00EB7546"/>
    <w:rsid w:val="00EC6F8E"/>
    <w:rsid w:val="00EE2EC8"/>
    <w:rsid w:val="00EF20E1"/>
    <w:rsid w:val="00F21E75"/>
    <w:rsid w:val="00F23E9F"/>
    <w:rsid w:val="00F27FAE"/>
    <w:rsid w:val="00F346B5"/>
    <w:rsid w:val="00F40C43"/>
    <w:rsid w:val="00F46855"/>
    <w:rsid w:val="00F553D1"/>
    <w:rsid w:val="00F556D7"/>
    <w:rsid w:val="00F5715E"/>
    <w:rsid w:val="00F60AA0"/>
    <w:rsid w:val="00F94FCF"/>
    <w:rsid w:val="00FA51E9"/>
    <w:rsid w:val="00FA5B32"/>
    <w:rsid w:val="00FA6722"/>
    <w:rsid w:val="00FA7541"/>
    <w:rsid w:val="00FB0047"/>
    <w:rsid w:val="00FB00A9"/>
    <w:rsid w:val="00FB0DC9"/>
    <w:rsid w:val="00FC07A8"/>
    <w:rsid w:val="00FC6C94"/>
    <w:rsid w:val="00FD223F"/>
    <w:rsid w:val="00FD27E1"/>
    <w:rsid w:val="00FD357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4E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242C0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66E4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B766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766E4"/>
  </w:style>
  <w:style w:type="paragraph" w:styleId="a6">
    <w:name w:val="footnote text"/>
    <w:basedOn w:val="a"/>
    <w:link w:val="a7"/>
    <w:uiPriority w:val="99"/>
    <w:semiHidden/>
    <w:rsid w:val="00B766E4"/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B76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B766E4"/>
    <w:rPr>
      <w:vertAlign w:val="superscript"/>
    </w:rPr>
  </w:style>
  <w:style w:type="character" w:customStyle="1" w:styleId="a9">
    <w:name w:val="Основний текст_"/>
    <w:basedOn w:val="a0"/>
    <w:link w:val="1"/>
    <w:locked/>
    <w:rsid w:val="00B766E4"/>
    <w:rPr>
      <w:spacing w:val="6"/>
      <w:shd w:val="clear" w:color="auto" w:fill="FFFFFF"/>
    </w:rPr>
  </w:style>
  <w:style w:type="paragraph" w:customStyle="1" w:styleId="1">
    <w:name w:val="Основний текст1"/>
    <w:basedOn w:val="a"/>
    <w:link w:val="a9"/>
    <w:rsid w:val="00B766E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B7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B766E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">
    <w:name w:val="st"/>
    <w:basedOn w:val="a0"/>
    <w:rsid w:val="00B766E4"/>
  </w:style>
  <w:style w:type="paragraph" w:customStyle="1" w:styleId="10">
    <w:name w:val="Абзац списку1"/>
    <w:basedOn w:val="a"/>
    <w:qFormat/>
    <w:rsid w:val="00B76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a">
    <w:name w:val="Emphasis"/>
    <w:basedOn w:val="a0"/>
    <w:uiPriority w:val="20"/>
    <w:qFormat/>
    <w:rsid w:val="00B766E4"/>
    <w:rPr>
      <w:i/>
      <w:iCs/>
    </w:rPr>
  </w:style>
  <w:style w:type="character" w:styleId="ab">
    <w:name w:val="Hyperlink"/>
    <w:basedOn w:val="a0"/>
    <w:uiPriority w:val="99"/>
    <w:unhideWhenUsed/>
    <w:rsid w:val="007F29FD"/>
    <w:rPr>
      <w:color w:val="0563C1" w:themeColor="hyperlink"/>
      <w:u w:val="single"/>
    </w:rPr>
  </w:style>
  <w:style w:type="paragraph" w:customStyle="1" w:styleId="rvps2">
    <w:name w:val="rvps2"/>
    <w:basedOn w:val="a"/>
    <w:rsid w:val="00C478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C4783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C47831"/>
  </w:style>
  <w:style w:type="character" w:customStyle="1" w:styleId="rvts78">
    <w:name w:val="rvts78"/>
    <w:basedOn w:val="a0"/>
    <w:rsid w:val="00982321"/>
  </w:style>
  <w:style w:type="character" w:customStyle="1" w:styleId="rvts0">
    <w:name w:val="rvts0"/>
    <w:basedOn w:val="a0"/>
    <w:rsid w:val="00982321"/>
  </w:style>
  <w:style w:type="paragraph" w:customStyle="1" w:styleId="ac">
    <w:name w:val="Нормальний текст"/>
    <w:basedOn w:val="a"/>
    <w:rsid w:val="00D7212E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d">
    <w:name w:val="Body Text"/>
    <w:basedOn w:val="a"/>
    <w:link w:val="ae"/>
    <w:rsid w:val="005A0332"/>
    <w:pPr>
      <w:jc w:val="both"/>
    </w:pPr>
    <w:rPr>
      <w:sz w:val="20"/>
      <w:szCs w:val="20"/>
    </w:rPr>
  </w:style>
  <w:style w:type="character" w:customStyle="1" w:styleId="ae">
    <w:name w:val="Основний текст Знак"/>
    <w:basedOn w:val="a0"/>
    <w:link w:val="ad"/>
    <w:rsid w:val="005A0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F5715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FB0047"/>
    <w:pPr>
      <w:ind w:left="720"/>
      <w:contextualSpacing/>
    </w:pPr>
  </w:style>
  <w:style w:type="paragraph" w:styleId="af1">
    <w:name w:val="header"/>
    <w:basedOn w:val="a"/>
    <w:link w:val="af2"/>
    <w:unhideWhenUsed/>
    <w:rsid w:val="00097412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uiPriority w:val="99"/>
    <w:rsid w:val="00097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2D4F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2C2D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текст (12)_"/>
    <w:basedOn w:val="a0"/>
    <w:link w:val="120"/>
    <w:rsid w:val="00B96E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96E29"/>
    <w:pPr>
      <w:widowControl w:val="0"/>
      <w:shd w:val="clear" w:color="auto" w:fill="FFFFFF"/>
      <w:spacing w:line="310" w:lineRule="exact"/>
      <w:jc w:val="right"/>
    </w:pPr>
    <w:rPr>
      <w:lang w:eastAsia="en-US"/>
    </w:rPr>
  </w:style>
  <w:style w:type="paragraph" w:customStyle="1" w:styleId="Default">
    <w:name w:val="Default"/>
    <w:rsid w:val="00B22F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rvts23">
    <w:name w:val="rvts23"/>
    <w:basedOn w:val="a0"/>
    <w:rsid w:val="00BD680E"/>
  </w:style>
  <w:style w:type="paragraph" w:customStyle="1" w:styleId="11">
    <w:name w:val="Звичайний1"/>
    <w:basedOn w:val="a"/>
    <w:rsid w:val="00CB6C1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i-art">
    <w:name w:val="sti-art"/>
    <w:basedOn w:val="a"/>
    <w:rsid w:val="00475BB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242C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uroparl.europa.eu/doceo/document/TA-9-2021-0050_EN.html" TargetMode="External"/><Relationship Id="rId2" Type="http://schemas.openxmlformats.org/officeDocument/2006/relationships/hyperlink" Target="https://www.ilo.org/dyn/normlex/en/f?p=NORMLEXPUB:12100:0::NO::P12100_INSTRUMENT_ID:312535" TargetMode="External"/><Relationship Id="rId1" Type="http://schemas.openxmlformats.org/officeDocument/2006/relationships/hyperlink" Target="https://www.ilo.org/dyn/normlex/en/f?p=1000:11200:0::NO:11200:P11200_COUNTRY_ID:10286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D917-9411-4F3E-8DBF-78287EDA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12574</Words>
  <Characters>7168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2020-02-20T08:08:00Z</dcterms:created>
  <dcterms:modified xsi:type="dcterms:W3CDTF">2021-04-19T07:31:00Z</dcterms:modified>
</cp:coreProperties>
</file>