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F20" w:rsidRPr="00C557A0" w:rsidRDefault="00BF2F20" w:rsidP="00BF2F20">
      <w:pPr>
        <w:spacing w:after="6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C557A0">
        <w:rPr>
          <w:rFonts w:ascii="Times New Roman" w:hAnsi="Times New Roman"/>
          <w:b/>
          <w:sz w:val="28"/>
          <w:szCs w:val="28"/>
          <w:lang w:eastAsia="ru-RU"/>
        </w:rPr>
        <w:t xml:space="preserve">ПОЯСНЮВАЛЬНА ЗАПИСКА </w:t>
      </w:r>
    </w:p>
    <w:p w:rsidR="00BF2F20" w:rsidRPr="00C557A0" w:rsidRDefault="00BF2F20" w:rsidP="00BF2F20">
      <w:pPr>
        <w:spacing w:after="6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557A0">
        <w:rPr>
          <w:rFonts w:ascii="Times New Roman" w:hAnsi="Times New Roman"/>
          <w:b/>
          <w:sz w:val="28"/>
          <w:szCs w:val="28"/>
          <w:lang w:eastAsia="ru-RU"/>
        </w:rPr>
        <w:t xml:space="preserve">до проекту Закону України </w:t>
      </w:r>
      <w:r w:rsidR="00E01F6D">
        <w:rPr>
          <w:rFonts w:ascii="Times New Roman" w:hAnsi="Times New Roman"/>
          <w:b/>
          <w:sz w:val="28"/>
          <w:szCs w:val="28"/>
        </w:rPr>
        <w:t>«Про внесення змін</w:t>
      </w:r>
      <w:r w:rsidRPr="00C557A0">
        <w:rPr>
          <w:rFonts w:ascii="Times New Roman" w:hAnsi="Times New Roman"/>
          <w:b/>
          <w:sz w:val="28"/>
          <w:szCs w:val="28"/>
        </w:rPr>
        <w:t xml:space="preserve"> до Бюджетного кодексу України щодо збільшення відсотку зарахування податку на доходи фізичних осіб до бюджетів місцевого самоврядування»</w:t>
      </w:r>
    </w:p>
    <w:p w:rsidR="00BF2F20" w:rsidRPr="00C557A0" w:rsidRDefault="00BF2F20" w:rsidP="00BF2F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F2F20" w:rsidRPr="00C557A0" w:rsidRDefault="00BF2F20" w:rsidP="00BF2F20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557A0">
        <w:rPr>
          <w:rFonts w:ascii="Times New Roman" w:hAnsi="Times New Roman"/>
          <w:b/>
          <w:sz w:val="28"/>
          <w:szCs w:val="28"/>
          <w:lang w:eastAsia="ru-RU"/>
        </w:rPr>
        <w:t xml:space="preserve">1. Обґрунтування необхідності прийняття </w:t>
      </w:r>
      <w:r w:rsidR="005B63FD">
        <w:rPr>
          <w:rFonts w:ascii="Times New Roman" w:hAnsi="Times New Roman"/>
          <w:b/>
          <w:sz w:val="28"/>
          <w:szCs w:val="28"/>
          <w:lang w:eastAsia="ru-RU"/>
        </w:rPr>
        <w:t>законопроекту</w:t>
      </w:r>
    </w:p>
    <w:p w:rsidR="00D12F35" w:rsidRDefault="00D12F35" w:rsidP="00D12F35">
      <w:pPr>
        <w:spacing w:after="12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617797">
        <w:rPr>
          <w:rFonts w:ascii="Times New Roman" w:eastAsiaTheme="minorEastAsia" w:hAnsi="Times New Roman"/>
          <w:sz w:val="28"/>
          <w:szCs w:val="28"/>
        </w:rPr>
        <w:t xml:space="preserve">У 2014 році Україна взяла курс на впровадження децентралізації – реформування місцевого самоврядування, територіальної організації влади, системи управління державними фінансами, просування секторальних реформ в освіті, охороні здоров’я, наданні адміністративних послуг, архітектурно-будівельній сфері, земельних відносинах, а також у дорожній галузі. </w:t>
      </w:r>
    </w:p>
    <w:p w:rsidR="00D12F35" w:rsidRPr="008066DE" w:rsidRDefault="00D12F35" w:rsidP="00D12F3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797">
        <w:rPr>
          <w:rFonts w:ascii="Times New Roman" w:eastAsiaTheme="minorEastAsia" w:hAnsi="Times New Roman"/>
          <w:sz w:val="28"/>
          <w:szCs w:val="28"/>
        </w:rPr>
        <w:t>Внаслідок прийнятих у 2014 році змін до Бюджетного та Податкового кодексів щодо реформи міжбюджетних трансфертів та податкової реформи</w:t>
      </w:r>
      <w:r>
        <w:rPr>
          <w:rFonts w:ascii="Times New Roman" w:eastAsiaTheme="minorEastAsia" w:hAnsi="Times New Roman"/>
          <w:sz w:val="28"/>
          <w:szCs w:val="28"/>
        </w:rPr>
        <w:t xml:space="preserve"> відповідно,</w:t>
      </w:r>
      <w:r w:rsidRPr="00617797">
        <w:rPr>
          <w:rFonts w:ascii="Times New Roman" w:eastAsiaTheme="minorEastAsia" w:hAnsi="Times New Roman"/>
          <w:sz w:val="28"/>
          <w:szCs w:val="28"/>
        </w:rPr>
        <w:t xml:space="preserve"> пр</w:t>
      </w:r>
      <w:r>
        <w:rPr>
          <w:rFonts w:ascii="Times New Roman" w:eastAsiaTheme="minorEastAsia" w:hAnsi="Times New Roman"/>
          <w:sz w:val="28"/>
          <w:szCs w:val="28"/>
        </w:rPr>
        <w:t>отягом 2014</w:t>
      </w:r>
      <w:r w:rsidRPr="00617797">
        <w:rPr>
          <w:rFonts w:ascii="Times New Roman" w:eastAsiaTheme="minorEastAsia" w:hAnsi="Times New Roman"/>
          <w:sz w:val="28"/>
          <w:szCs w:val="28"/>
        </w:rPr>
        <w:t>–2020 років обсяг фінансових ресурсів місцевого самовр</w:t>
      </w:r>
      <w:r>
        <w:rPr>
          <w:rFonts w:ascii="Times New Roman" w:eastAsiaTheme="minorEastAsia" w:hAnsi="Times New Roman"/>
          <w:sz w:val="28"/>
          <w:szCs w:val="28"/>
        </w:rPr>
        <w:t xml:space="preserve">ядування зростав, разом з тим </w:t>
      </w:r>
      <w:r w:rsidRPr="0058701C">
        <w:rPr>
          <w:rFonts w:ascii="Times New Roman" w:eastAsiaTheme="minorEastAsia" w:hAnsi="Times New Roman"/>
          <w:i/>
          <w:sz w:val="28"/>
          <w:szCs w:val="28"/>
        </w:rPr>
        <w:t>непосильно зростало і видаткове навантаження на бюджети місцевого самоврядування</w:t>
      </w:r>
      <w:r>
        <w:rPr>
          <w:rFonts w:ascii="Times New Roman" w:eastAsiaTheme="minorEastAsia" w:hAnsi="Times New Roman"/>
          <w:sz w:val="28"/>
          <w:szCs w:val="28"/>
        </w:rPr>
        <w:t>. П</w:t>
      </w:r>
      <w:r w:rsidRPr="008066DE">
        <w:rPr>
          <w:rFonts w:ascii="Times New Roman" w:hAnsi="Times New Roman"/>
          <w:sz w:val="28"/>
          <w:szCs w:val="28"/>
        </w:rPr>
        <w:t>ротягом впровадження реформи децентралізації державою було перекладено на бюджети територіальних громад ряд повноважень та видатків без належного фінансового ресурсу. Зокрема відбулося перекладення навантаження на місцеве самоврядування із фінансування дод</w:t>
      </w:r>
      <w:r>
        <w:rPr>
          <w:rFonts w:ascii="Times New Roman" w:hAnsi="Times New Roman"/>
          <w:sz w:val="28"/>
          <w:szCs w:val="28"/>
        </w:rPr>
        <w:t>аткових повноважень та видатків</w:t>
      </w:r>
      <w:r w:rsidRPr="008066DE">
        <w:rPr>
          <w:rFonts w:ascii="Times New Roman" w:hAnsi="Times New Roman"/>
          <w:sz w:val="28"/>
          <w:szCs w:val="28"/>
        </w:rPr>
        <w:t xml:space="preserve"> без виділення фінансових ресурсів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8066DE">
        <w:rPr>
          <w:rFonts w:ascii="Times New Roman" w:hAnsi="Times New Roman"/>
          <w:sz w:val="28"/>
          <w:szCs w:val="28"/>
        </w:rPr>
        <w:t xml:space="preserve">: </w:t>
      </w:r>
    </w:p>
    <w:p w:rsidR="00D12F35" w:rsidRPr="00A162C2" w:rsidRDefault="00D12F35" w:rsidP="00D12F35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162C2">
        <w:rPr>
          <w:rFonts w:ascii="Times New Roman" w:hAnsi="Times New Roman"/>
          <w:sz w:val="28"/>
          <w:szCs w:val="28"/>
        </w:rPr>
        <w:t>фінансування закладів професійно-технічної освіти</w:t>
      </w:r>
      <w:r>
        <w:rPr>
          <w:rFonts w:ascii="Times New Roman" w:hAnsi="Times New Roman"/>
          <w:sz w:val="28"/>
          <w:szCs w:val="28"/>
        </w:rPr>
        <w:t xml:space="preserve"> (це понад 5 </w:t>
      </w:r>
      <w:r w:rsidRPr="00A162C2">
        <w:rPr>
          <w:rFonts w:ascii="Times New Roman" w:hAnsi="Times New Roman"/>
          <w:sz w:val="28"/>
          <w:szCs w:val="28"/>
        </w:rPr>
        <w:t>млрд гривень щорічно);</w:t>
      </w:r>
    </w:p>
    <w:p w:rsidR="00D12F35" w:rsidRPr="008066DE" w:rsidRDefault="00D12F35" w:rsidP="00D12F35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066DE">
        <w:rPr>
          <w:rFonts w:ascii="Times New Roman" w:hAnsi="Times New Roman"/>
          <w:sz w:val="28"/>
          <w:szCs w:val="28"/>
        </w:rPr>
        <w:t>виплат</w:t>
      </w:r>
      <w:r>
        <w:rPr>
          <w:rFonts w:ascii="Times New Roman" w:hAnsi="Times New Roman"/>
          <w:sz w:val="28"/>
          <w:szCs w:val="28"/>
        </w:rPr>
        <w:t>у</w:t>
      </w:r>
      <w:r w:rsidRPr="008066DE">
        <w:rPr>
          <w:rFonts w:ascii="Times New Roman" w:hAnsi="Times New Roman"/>
          <w:sz w:val="28"/>
          <w:szCs w:val="28"/>
        </w:rPr>
        <w:t xml:space="preserve"> заробітної плати непедагогічним працівникам, утримання закладів середньої освіти, забезпечення навчального процесу (раніше фінансувалося </w:t>
      </w:r>
      <w:r w:rsidR="00992802">
        <w:rPr>
          <w:rFonts w:ascii="Times New Roman" w:hAnsi="Times New Roman"/>
          <w:sz w:val="28"/>
          <w:szCs w:val="28"/>
        </w:rPr>
        <w:t>коштом</w:t>
      </w:r>
      <w:r w:rsidRPr="008066DE">
        <w:rPr>
          <w:rFonts w:ascii="Times New Roman" w:hAnsi="Times New Roman"/>
          <w:sz w:val="28"/>
          <w:szCs w:val="28"/>
        </w:rPr>
        <w:t xml:space="preserve"> освітньої субвенції);</w:t>
      </w:r>
    </w:p>
    <w:p w:rsidR="00D12F35" w:rsidRPr="008066DE" w:rsidRDefault="00D12F35" w:rsidP="00D12F35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066DE">
        <w:rPr>
          <w:rFonts w:ascii="Times New Roman" w:hAnsi="Times New Roman"/>
          <w:sz w:val="28"/>
          <w:szCs w:val="28"/>
        </w:rPr>
        <w:t>фінансування комунальних послуг та енергоносіїв закладів охорони здоров’я;</w:t>
      </w:r>
    </w:p>
    <w:p w:rsidR="00D12F35" w:rsidRPr="008066DE" w:rsidRDefault="00D12F35" w:rsidP="00D12F35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066DE">
        <w:rPr>
          <w:rFonts w:ascii="Times New Roman" w:hAnsi="Times New Roman"/>
          <w:sz w:val="28"/>
          <w:szCs w:val="28"/>
        </w:rPr>
        <w:t>фінансове забезпеченн</w:t>
      </w:r>
      <w:r>
        <w:rPr>
          <w:rFonts w:ascii="Times New Roman" w:hAnsi="Times New Roman"/>
          <w:sz w:val="28"/>
          <w:szCs w:val="28"/>
        </w:rPr>
        <w:t xml:space="preserve">я державних соціальних гарантій, зокрема </w:t>
      </w:r>
      <w:r w:rsidRPr="008066DE">
        <w:rPr>
          <w:rFonts w:ascii="Times New Roman" w:hAnsi="Times New Roman"/>
          <w:sz w:val="28"/>
          <w:szCs w:val="28"/>
        </w:rPr>
        <w:t>пільговий проїзд, пільговий зв’язок</w:t>
      </w:r>
      <w:r>
        <w:rPr>
          <w:rFonts w:ascii="Times New Roman" w:hAnsi="Times New Roman"/>
          <w:sz w:val="28"/>
          <w:szCs w:val="28"/>
        </w:rPr>
        <w:t xml:space="preserve"> (це понад 6 млрд гривень щорічно)</w:t>
      </w:r>
      <w:r w:rsidRPr="008066DE">
        <w:rPr>
          <w:rFonts w:ascii="Times New Roman" w:hAnsi="Times New Roman"/>
          <w:sz w:val="28"/>
          <w:szCs w:val="28"/>
        </w:rPr>
        <w:t xml:space="preserve">; </w:t>
      </w:r>
    </w:p>
    <w:p w:rsidR="00D12F35" w:rsidRPr="008066DE" w:rsidRDefault="00D12F35" w:rsidP="00D12F35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066DE">
        <w:rPr>
          <w:rFonts w:ascii="Times New Roman" w:hAnsi="Times New Roman"/>
          <w:sz w:val="28"/>
          <w:szCs w:val="28"/>
        </w:rPr>
        <w:t>видатки на зовнішнє освітлення та електротранспорт через підвищення тарифів на електроенергію в чотири рази на ці потреби.</w:t>
      </w:r>
    </w:p>
    <w:p w:rsidR="00D12F35" w:rsidRPr="004B798D" w:rsidRDefault="00D12F35" w:rsidP="00D12F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98D">
        <w:rPr>
          <w:rFonts w:ascii="Times New Roman" w:hAnsi="Times New Roman"/>
          <w:sz w:val="28"/>
          <w:szCs w:val="28"/>
        </w:rPr>
        <w:t>Окрім цього ситуація поглиблювалася і невиконанням державою ряду зобов’язань, зокрема це:</w:t>
      </w:r>
    </w:p>
    <w:p w:rsidR="00D12F35" w:rsidRPr="008066DE" w:rsidRDefault="00D12F35" w:rsidP="00D12F35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066DE">
        <w:rPr>
          <w:rFonts w:ascii="Times New Roman" w:hAnsi="Times New Roman"/>
          <w:sz w:val="28"/>
          <w:szCs w:val="28"/>
        </w:rPr>
        <w:t>щорічне недоф</w:t>
      </w:r>
      <w:r w:rsidR="00992802">
        <w:rPr>
          <w:rFonts w:ascii="Times New Roman" w:hAnsi="Times New Roman"/>
          <w:sz w:val="28"/>
          <w:szCs w:val="28"/>
        </w:rPr>
        <w:t xml:space="preserve">інансування освітньої субвенції </w:t>
      </w:r>
      <w:r w:rsidRPr="008066DE">
        <w:rPr>
          <w:rFonts w:ascii="Times New Roman" w:hAnsi="Times New Roman"/>
          <w:sz w:val="28"/>
          <w:szCs w:val="28"/>
        </w:rPr>
        <w:t>в межах 15-20%;</w:t>
      </w:r>
    </w:p>
    <w:p w:rsidR="00D12F35" w:rsidRPr="008066DE" w:rsidRDefault="00D12F35" w:rsidP="00D12F35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066DE">
        <w:rPr>
          <w:rFonts w:ascii="Times New Roman" w:hAnsi="Times New Roman"/>
          <w:sz w:val="28"/>
          <w:szCs w:val="28"/>
        </w:rPr>
        <w:t xml:space="preserve">відсутність компенсації заборгованості із різниці в тарифах на комунальні послуги (2017-2020 роки – </w:t>
      </w:r>
      <w:r w:rsidR="00992802">
        <w:rPr>
          <w:rFonts w:ascii="Times New Roman" w:hAnsi="Times New Roman"/>
          <w:sz w:val="28"/>
          <w:szCs w:val="28"/>
        </w:rPr>
        <w:t xml:space="preserve">понад </w:t>
      </w:r>
      <w:r w:rsidRPr="008066DE">
        <w:rPr>
          <w:rFonts w:ascii="Times New Roman" w:hAnsi="Times New Roman"/>
          <w:sz w:val="28"/>
          <w:szCs w:val="28"/>
        </w:rPr>
        <w:t>24 млрд гр</w:t>
      </w:r>
      <w:r>
        <w:rPr>
          <w:rFonts w:ascii="Times New Roman" w:hAnsi="Times New Roman"/>
          <w:sz w:val="28"/>
          <w:szCs w:val="28"/>
        </w:rPr>
        <w:t>ивень</w:t>
      </w:r>
      <w:r w:rsidRPr="008066DE">
        <w:rPr>
          <w:rFonts w:ascii="Times New Roman" w:hAnsi="Times New Roman"/>
          <w:sz w:val="28"/>
          <w:szCs w:val="28"/>
        </w:rPr>
        <w:t>);</w:t>
      </w:r>
    </w:p>
    <w:p w:rsidR="00D12F35" w:rsidRPr="008066DE" w:rsidRDefault="00D12F35" w:rsidP="00D12F35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066DE">
        <w:rPr>
          <w:rFonts w:ascii="Times New Roman" w:hAnsi="Times New Roman"/>
          <w:sz w:val="28"/>
          <w:szCs w:val="28"/>
        </w:rPr>
        <w:t xml:space="preserve">відсутність компенсації </w:t>
      </w:r>
      <w:r w:rsidR="00992802">
        <w:rPr>
          <w:rFonts w:ascii="Times New Roman" w:hAnsi="Times New Roman"/>
          <w:sz w:val="28"/>
          <w:szCs w:val="28"/>
        </w:rPr>
        <w:t>за встановлені державою пільги зі</w:t>
      </w:r>
      <w:r w:rsidRPr="008066DE">
        <w:rPr>
          <w:rFonts w:ascii="Times New Roman" w:hAnsi="Times New Roman"/>
          <w:sz w:val="28"/>
          <w:szCs w:val="28"/>
        </w:rPr>
        <w:t xml:space="preserve"> сплати земельного податку для гірничодобувних підприємств (втрати близько 1</w:t>
      </w:r>
      <w:r>
        <w:rPr>
          <w:rFonts w:ascii="Times New Roman" w:hAnsi="Times New Roman"/>
          <w:sz w:val="28"/>
          <w:szCs w:val="28"/>
        </w:rPr>
        <w:t> </w:t>
      </w:r>
      <w:r w:rsidRPr="008066DE">
        <w:rPr>
          <w:rFonts w:ascii="Times New Roman" w:hAnsi="Times New Roman"/>
          <w:sz w:val="28"/>
          <w:szCs w:val="28"/>
        </w:rPr>
        <w:t xml:space="preserve">млрд гри в рік). </w:t>
      </w:r>
    </w:p>
    <w:p w:rsidR="00D12F35" w:rsidRPr="008066DE" w:rsidRDefault="00D12F35" w:rsidP="00D12F3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066DE">
        <w:rPr>
          <w:rFonts w:ascii="Times New Roman" w:hAnsi="Times New Roman"/>
          <w:sz w:val="28"/>
          <w:szCs w:val="28"/>
          <w:shd w:val="clear" w:color="auto" w:fill="FFFFFF"/>
        </w:rPr>
        <w:t>Разом з тим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протягом 2014</w:t>
      </w:r>
      <w:r w:rsidRPr="00770FC3">
        <w:rPr>
          <w:rFonts w:ascii="Times New Roman" w:hAnsi="Times New Roman"/>
          <w:color w:val="7030A0"/>
          <w:sz w:val="28"/>
          <w:szCs w:val="28"/>
          <w:lang w:eastAsia="ru-RU"/>
        </w:rPr>
        <w:t>–</w:t>
      </w:r>
      <w:r w:rsidRPr="008066DE">
        <w:rPr>
          <w:rFonts w:ascii="Times New Roman" w:hAnsi="Times New Roman"/>
          <w:sz w:val="28"/>
          <w:szCs w:val="28"/>
          <w:shd w:val="clear" w:color="auto" w:fill="FFFFFF"/>
        </w:rPr>
        <w:t>2020 років в умовах щорічного недофінансування відбулося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</w:p>
    <w:p w:rsidR="00D12F35" w:rsidRPr="00A162C2" w:rsidRDefault="00D12F35" w:rsidP="00D12F35">
      <w:pPr>
        <w:pStyle w:val="a3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162C2">
        <w:rPr>
          <w:rFonts w:ascii="Times New Roman" w:hAnsi="Times New Roman"/>
          <w:sz w:val="28"/>
          <w:szCs w:val="28"/>
          <w:shd w:val="clear" w:color="auto" w:fill="FFFFFF"/>
        </w:rPr>
        <w:t>скасування окремих джерел доходів бюджетів місцевого самоврядування:</w:t>
      </w:r>
    </w:p>
    <w:p w:rsidR="00D12F35" w:rsidRPr="00103CFA" w:rsidRDefault="00D12F35" w:rsidP="00D12F35">
      <w:pPr>
        <w:pStyle w:val="a3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103CFA">
        <w:rPr>
          <w:rFonts w:ascii="Times New Roman" w:hAnsi="Times New Roman"/>
          <w:sz w:val="28"/>
          <w:szCs w:val="28"/>
        </w:rPr>
        <w:t>пайової участі (близько 2 млрд гривень);</w:t>
      </w:r>
    </w:p>
    <w:p w:rsidR="00D12F35" w:rsidRPr="00103CFA" w:rsidRDefault="00D12F35" w:rsidP="00D12F35">
      <w:pPr>
        <w:pStyle w:val="a3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03CF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субвенц</w:t>
      </w:r>
      <w:r>
        <w:rPr>
          <w:rFonts w:ascii="Times New Roman" w:hAnsi="Times New Roman"/>
          <w:sz w:val="28"/>
          <w:szCs w:val="28"/>
          <w:shd w:val="clear" w:color="auto" w:fill="FFFFFF"/>
        </w:rPr>
        <w:t>ії на формування інфраструктури</w:t>
      </w:r>
      <w:r w:rsidRPr="00103CFA">
        <w:rPr>
          <w:rFonts w:ascii="Times New Roman" w:hAnsi="Times New Roman"/>
          <w:sz w:val="28"/>
          <w:szCs w:val="28"/>
          <w:shd w:val="clear" w:color="auto" w:fill="FFFFFF"/>
        </w:rPr>
        <w:t xml:space="preserve"> територіальних громад (близько 2 млрд гривень).</w:t>
      </w:r>
    </w:p>
    <w:p w:rsidR="00D12F35" w:rsidRPr="00A162C2" w:rsidRDefault="00D12F35" w:rsidP="00D12F35">
      <w:pPr>
        <w:pStyle w:val="a3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162C2">
        <w:rPr>
          <w:rFonts w:ascii="Times New Roman" w:hAnsi="Times New Roman"/>
          <w:sz w:val="28"/>
          <w:szCs w:val="28"/>
          <w:shd w:val="clear" w:color="auto" w:fill="FFFFFF"/>
        </w:rPr>
        <w:t xml:space="preserve">скорочення обсягу міжбюджетних трансфертів, зокрема </w:t>
      </w:r>
      <w:r w:rsidRPr="00A162C2">
        <w:rPr>
          <w:rFonts w:ascii="Times New Roman" w:hAnsi="Times New Roman"/>
          <w:sz w:val="28"/>
          <w:szCs w:val="28"/>
        </w:rPr>
        <w:t>обсяг додаткової дотації на здійснення переданих з державного бюджету видатків з утримання закладів освіти та охорони здоров’я зменшився за період 2018</w:t>
      </w:r>
      <w:r w:rsidRPr="00A162C2">
        <w:rPr>
          <w:rFonts w:ascii="Times New Roman" w:hAnsi="Times New Roman"/>
          <w:color w:val="7030A0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</w:rPr>
        <w:t>2020 роки з 16,5 млрд гривень до 5,9 млрд</w:t>
      </w:r>
      <w:r w:rsidRPr="00A162C2">
        <w:rPr>
          <w:rFonts w:ascii="Times New Roman" w:hAnsi="Times New Roman"/>
          <w:sz w:val="28"/>
          <w:szCs w:val="28"/>
        </w:rPr>
        <w:t xml:space="preserve">, тобто на 10,6 млрд гривень. </w:t>
      </w:r>
    </w:p>
    <w:p w:rsidR="00D12F35" w:rsidRDefault="00D12F35" w:rsidP="00D12F3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Окрім цього у 2020 </w:t>
      </w:r>
      <w:r w:rsidRPr="00726EFB">
        <w:rPr>
          <w:rFonts w:ascii="Times New Roman" w:hAnsi="Times New Roman"/>
          <w:sz w:val="28"/>
          <w:szCs w:val="28"/>
          <w:lang w:eastAsia="ru-RU"/>
        </w:rPr>
        <w:t>році бюджети місцевого самоврядування недоотримали т</w:t>
      </w:r>
      <w:r>
        <w:rPr>
          <w:rFonts w:ascii="Times New Roman" w:hAnsi="Times New Roman"/>
          <w:sz w:val="28"/>
          <w:szCs w:val="28"/>
          <w:lang w:eastAsia="ru-RU"/>
        </w:rPr>
        <w:t>а втратили понад 69 </w:t>
      </w:r>
      <w:r w:rsidRPr="00726EFB">
        <w:rPr>
          <w:rFonts w:ascii="Times New Roman" w:hAnsi="Times New Roman"/>
          <w:sz w:val="28"/>
          <w:szCs w:val="28"/>
          <w:lang w:eastAsia="ru-RU"/>
        </w:rPr>
        <w:t xml:space="preserve">млрд гривень фінансових ресурсів через запровадженні урядом карантині обмеження, сповільнення ділової активності та надання податкових пільг </w:t>
      </w:r>
      <w:r w:rsidR="00992802">
        <w:rPr>
          <w:rFonts w:ascii="Times New Roman" w:hAnsi="Times New Roman"/>
          <w:sz w:val="28"/>
          <w:szCs w:val="28"/>
          <w:lang w:eastAsia="ru-RU"/>
        </w:rPr>
        <w:t>коштом</w:t>
      </w:r>
      <w:r w:rsidRPr="00726EFB">
        <w:rPr>
          <w:rFonts w:ascii="Times New Roman" w:hAnsi="Times New Roman"/>
          <w:sz w:val="28"/>
          <w:szCs w:val="28"/>
          <w:lang w:eastAsia="ru-RU"/>
        </w:rPr>
        <w:t xml:space="preserve"> місцевих податків і зборів, через </w:t>
      </w:r>
      <w:r>
        <w:rPr>
          <w:rFonts w:ascii="Times New Roman" w:hAnsi="Times New Roman"/>
          <w:sz w:val="28"/>
          <w:szCs w:val="28"/>
          <w:lang w:eastAsia="ru-RU"/>
        </w:rPr>
        <w:t xml:space="preserve">повне або часткове </w:t>
      </w:r>
      <w:r w:rsidRPr="00726EFB">
        <w:rPr>
          <w:rFonts w:ascii="Times New Roman" w:hAnsi="Times New Roman"/>
          <w:sz w:val="28"/>
          <w:szCs w:val="28"/>
          <w:lang w:eastAsia="ru-RU"/>
        </w:rPr>
        <w:t>скорочення обсягів субвенцій та дотацій, перед</w:t>
      </w:r>
      <w:r>
        <w:rPr>
          <w:rFonts w:ascii="Times New Roman" w:hAnsi="Times New Roman"/>
          <w:sz w:val="28"/>
          <w:szCs w:val="28"/>
          <w:lang w:eastAsia="ru-RU"/>
        </w:rPr>
        <w:t>бачених місцевому самоврядуванню, і переспрямування</w:t>
      </w:r>
      <w:r w:rsidRPr="00726EFB">
        <w:rPr>
          <w:rFonts w:ascii="Times New Roman" w:hAnsi="Times New Roman"/>
          <w:sz w:val="28"/>
          <w:szCs w:val="28"/>
          <w:lang w:eastAsia="ru-RU"/>
        </w:rPr>
        <w:t xml:space="preserve"> вивільненого фінансового ресурсу на формування державного Фонду боротьби COVID-19.</w:t>
      </w:r>
    </w:p>
    <w:p w:rsidR="00BF2F20" w:rsidRDefault="00D12F35" w:rsidP="00D12F3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Законопроект пропонує частково компенсувати втрати бюджетів територіальних громад </w:t>
      </w:r>
      <w:r w:rsidRPr="008066DE">
        <w:rPr>
          <w:rFonts w:ascii="Times New Roman" w:hAnsi="Times New Roman"/>
          <w:sz w:val="28"/>
          <w:szCs w:val="28"/>
        </w:rPr>
        <w:t>та видатки, які виникли у зв’язку із передачею від держави місцевому самоврядуванню додаткових повноважень</w:t>
      </w:r>
      <w:r>
        <w:rPr>
          <w:rFonts w:ascii="Times New Roman" w:hAnsi="Times New Roman"/>
          <w:sz w:val="28"/>
          <w:szCs w:val="28"/>
        </w:rPr>
        <w:t xml:space="preserve"> і в цілому сприяти покращенню фінансової спроможності територіальних громад шляхом з</w:t>
      </w:r>
      <w:r w:rsidRPr="00352B3D">
        <w:rPr>
          <w:rFonts w:ascii="Times New Roman" w:hAnsi="Times New Roman"/>
          <w:sz w:val="28"/>
          <w:szCs w:val="28"/>
        </w:rPr>
        <w:t>більшення відсотку зарахування до доходів бюджетів сільських, селищних, міських територіальних громад податку на доходи фізичних</w:t>
      </w:r>
      <w:r>
        <w:rPr>
          <w:rFonts w:ascii="Times New Roman" w:hAnsi="Times New Roman"/>
          <w:sz w:val="28"/>
          <w:szCs w:val="28"/>
        </w:rPr>
        <w:t xml:space="preserve"> осіб із 60 </w:t>
      </w:r>
      <w:r w:rsidRPr="00352B3D">
        <w:rPr>
          <w:rFonts w:ascii="Times New Roman" w:hAnsi="Times New Roman"/>
          <w:sz w:val="28"/>
          <w:szCs w:val="28"/>
        </w:rPr>
        <w:t>до 65</w:t>
      </w:r>
      <w:r>
        <w:rPr>
          <w:rFonts w:ascii="Times New Roman" w:hAnsi="Times New Roman"/>
          <w:sz w:val="28"/>
          <w:szCs w:val="28"/>
        </w:rPr>
        <w:t> </w:t>
      </w:r>
      <w:r w:rsidRPr="00352B3D">
        <w:rPr>
          <w:rFonts w:ascii="Times New Roman" w:hAnsi="Times New Roman"/>
          <w:sz w:val="28"/>
          <w:szCs w:val="28"/>
        </w:rPr>
        <w:t>відсотків</w:t>
      </w:r>
      <w:r>
        <w:rPr>
          <w:rFonts w:ascii="Times New Roman" w:hAnsi="Times New Roman"/>
          <w:sz w:val="28"/>
          <w:szCs w:val="28"/>
        </w:rPr>
        <w:t xml:space="preserve"> </w:t>
      </w:r>
      <w:r w:rsidR="00992802">
        <w:rPr>
          <w:rFonts w:ascii="Times New Roman" w:hAnsi="Times New Roman"/>
          <w:sz w:val="28"/>
          <w:szCs w:val="28"/>
        </w:rPr>
        <w:t>шляхом</w:t>
      </w:r>
      <w:r>
        <w:rPr>
          <w:rFonts w:ascii="Times New Roman" w:hAnsi="Times New Roman"/>
          <w:sz w:val="28"/>
          <w:szCs w:val="28"/>
        </w:rPr>
        <w:t xml:space="preserve"> відповідно зменшення відсотку зарахування надходжень такого податку</w:t>
      </w:r>
      <w:r w:rsidR="00BF2F20">
        <w:rPr>
          <w:rFonts w:ascii="Times New Roman" w:hAnsi="Times New Roman"/>
          <w:sz w:val="28"/>
          <w:szCs w:val="28"/>
        </w:rPr>
        <w:t xml:space="preserve"> до обласних бюджетів. </w:t>
      </w:r>
    </w:p>
    <w:p w:rsidR="00BF2F20" w:rsidRPr="00726EFB" w:rsidRDefault="00BF2F20" w:rsidP="00BF2F2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Адже протягом 2018</w:t>
      </w:r>
      <w:r w:rsidRPr="00770FC3">
        <w:rPr>
          <w:rFonts w:ascii="Times New Roman" w:hAnsi="Times New Roman"/>
          <w:color w:val="7030A0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</w:rPr>
        <w:t xml:space="preserve">2021 років за результатом розподілу обласними </w:t>
      </w:r>
      <w:r w:rsidRPr="00726EFB">
        <w:rPr>
          <w:rFonts w:ascii="Times New Roman" w:hAnsi="Times New Roman"/>
          <w:sz w:val="28"/>
          <w:szCs w:val="28"/>
        </w:rPr>
        <w:t xml:space="preserve">державними адміністраціями </w:t>
      </w:r>
      <w:r w:rsidRPr="00726EFB">
        <w:rPr>
          <w:rFonts w:ascii="Times New Roman" w:hAnsi="Times New Roman"/>
          <w:sz w:val="28"/>
          <w:szCs w:val="28"/>
          <w:lang w:eastAsia="ru-RU"/>
        </w:rPr>
        <w:t>додаткової дотації на здійснення переданих з державного бюджету видатків з утримання закладів освіти та охорони здоров’я у 2018</w:t>
      </w:r>
      <w:r w:rsidRPr="00726EFB">
        <w:rPr>
          <w:rFonts w:ascii="Times New Roman" w:hAnsi="Times New Roman"/>
          <w:sz w:val="28"/>
          <w:szCs w:val="28"/>
        </w:rPr>
        <w:t>–</w:t>
      </w:r>
      <w:r w:rsidRPr="00726EFB">
        <w:rPr>
          <w:rFonts w:ascii="Times New Roman" w:hAnsi="Times New Roman"/>
          <w:sz w:val="28"/>
          <w:szCs w:val="28"/>
          <w:lang w:eastAsia="ru-RU"/>
        </w:rPr>
        <w:t xml:space="preserve">2020 роках </w:t>
      </w:r>
      <w:r w:rsidRPr="00ED2C2C">
        <w:rPr>
          <w:rFonts w:ascii="Times New Roman" w:hAnsi="Times New Roman"/>
          <w:i/>
          <w:sz w:val="28"/>
          <w:szCs w:val="28"/>
          <w:lang w:eastAsia="ru-RU"/>
        </w:rPr>
        <w:t>понад 40% дотації залишалось в обласних бюджетах</w:t>
      </w:r>
      <w:r w:rsidRPr="00726EFB">
        <w:rPr>
          <w:rFonts w:ascii="Times New Roman" w:hAnsi="Times New Roman"/>
          <w:sz w:val="28"/>
          <w:szCs w:val="28"/>
          <w:lang w:eastAsia="ru-RU"/>
        </w:rPr>
        <w:t>, хоча питома вага видатків на освіту і охорону здоров’я загального фонду обласних бюджетів в структурі загального обсягу асигнувань всіх місцевих бюджетів за відповідними галузями складає не більше 11%. До прикладу для міст, які утримували майже 70% всієї інфраструктури освіти і охорони здоров’я, було передбачено лише 5% загального обсягу дотації, для добровільно об’єднаних громад, в яких проживала чверть населення України, –</w:t>
      </w:r>
      <w:r>
        <w:rPr>
          <w:rFonts w:ascii="Times New Roman" w:hAnsi="Times New Roman"/>
          <w:sz w:val="28"/>
          <w:szCs w:val="28"/>
          <w:lang w:eastAsia="ru-RU"/>
        </w:rPr>
        <w:t xml:space="preserve"> лише 13,5 </w:t>
      </w:r>
      <w:r w:rsidRPr="00726EFB">
        <w:rPr>
          <w:rFonts w:ascii="Times New Roman" w:hAnsi="Times New Roman"/>
          <w:sz w:val="28"/>
          <w:szCs w:val="28"/>
          <w:lang w:eastAsia="ru-RU"/>
        </w:rPr>
        <w:t xml:space="preserve">%. </w:t>
      </w:r>
    </w:p>
    <w:p w:rsidR="00BF2F20" w:rsidRDefault="00BF2F20" w:rsidP="00BF2F2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6EFB">
        <w:rPr>
          <w:rFonts w:ascii="Times New Roman" w:hAnsi="Times New Roman"/>
          <w:sz w:val="28"/>
          <w:szCs w:val="28"/>
          <w:lang w:eastAsia="ru-RU"/>
        </w:rPr>
        <w:t xml:space="preserve">У 2021 році із </w:t>
      </w:r>
      <w:r>
        <w:rPr>
          <w:rFonts w:ascii="Times New Roman" w:hAnsi="Times New Roman"/>
          <w:sz w:val="28"/>
          <w:szCs w:val="28"/>
          <w:lang w:eastAsia="ru-RU"/>
        </w:rPr>
        <w:t>100%</w:t>
      </w:r>
      <w:r w:rsidRPr="00726EFB">
        <w:rPr>
          <w:rFonts w:ascii="Times New Roman" w:hAnsi="Times New Roman"/>
          <w:sz w:val="28"/>
          <w:szCs w:val="28"/>
          <w:lang w:eastAsia="ru-RU"/>
        </w:rPr>
        <w:t xml:space="preserve"> додаткової дотації (це </w:t>
      </w:r>
      <w:r>
        <w:rPr>
          <w:rFonts w:ascii="Times New Roman" w:hAnsi="Times New Roman"/>
          <w:sz w:val="28"/>
          <w:szCs w:val="28"/>
          <w:lang w:eastAsia="ru-RU"/>
        </w:rPr>
        <w:t>5,9 </w:t>
      </w:r>
      <w:r w:rsidRPr="00726EFB">
        <w:rPr>
          <w:rFonts w:ascii="Times New Roman" w:hAnsi="Times New Roman"/>
          <w:sz w:val="28"/>
          <w:szCs w:val="28"/>
          <w:lang w:eastAsia="ru-RU"/>
        </w:rPr>
        <w:t xml:space="preserve">млрд гривень) 45% відсотків </w:t>
      </w:r>
      <w:proofErr w:type="spellStart"/>
      <w:r w:rsidRPr="00726EFB">
        <w:rPr>
          <w:rFonts w:ascii="Times New Roman" w:hAnsi="Times New Roman"/>
          <w:sz w:val="28"/>
          <w:szCs w:val="28"/>
          <w:lang w:eastAsia="ru-RU"/>
        </w:rPr>
        <w:t>розподілено</w:t>
      </w:r>
      <w:proofErr w:type="spellEnd"/>
      <w:r w:rsidRPr="00726EFB">
        <w:rPr>
          <w:rFonts w:ascii="Times New Roman" w:hAnsi="Times New Roman"/>
          <w:sz w:val="28"/>
          <w:szCs w:val="28"/>
          <w:lang w:eastAsia="ru-RU"/>
        </w:rPr>
        <w:t xml:space="preserve"> обласним бюджетам (це 2,7 млрд гривень), громадам – 31% (це 1,8 млрд гривень), а 24% (це 1,4 млрд гривень)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726EFB">
        <w:rPr>
          <w:rFonts w:ascii="Times New Roman" w:hAnsi="Times New Roman"/>
          <w:sz w:val="28"/>
          <w:szCs w:val="28"/>
          <w:lang w:eastAsia="ru-RU"/>
        </w:rPr>
        <w:t xml:space="preserve">не </w:t>
      </w:r>
      <w:proofErr w:type="spellStart"/>
      <w:r w:rsidRPr="00726EFB">
        <w:rPr>
          <w:rFonts w:ascii="Times New Roman" w:hAnsi="Times New Roman"/>
          <w:sz w:val="28"/>
          <w:szCs w:val="28"/>
          <w:lang w:eastAsia="ru-RU"/>
        </w:rPr>
        <w:t>розподілено</w:t>
      </w:r>
      <w:proofErr w:type="spellEnd"/>
      <w:r w:rsidRPr="00726EF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F2F20" w:rsidRDefault="00BF2F20" w:rsidP="00BF2F20">
      <w:pPr>
        <w:spacing w:after="12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 2018 році</w:t>
      </w:r>
      <w:r w:rsidRPr="00AE45DA">
        <w:rPr>
          <w:rFonts w:ascii="Times New Roman" w:eastAsia="Calibri" w:hAnsi="Times New Roman"/>
          <w:sz w:val="28"/>
          <w:szCs w:val="28"/>
        </w:rPr>
        <w:t xml:space="preserve"> 9</w:t>
      </w:r>
      <w:r>
        <w:rPr>
          <w:rFonts w:ascii="Times New Roman" w:eastAsia="Calibri" w:hAnsi="Times New Roman"/>
          <w:sz w:val="28"/>
          <w:szCs w:val="28"/>
        </w:rPr>
        <w:t>,7 млрд гривень спрямовано</w:t>
      </w:r>
      <w:r w:rsidRPr="00AE45DA">
        <w:rPr>
          <w:rFonts w:ascii="Times New Roman" w:eastAsia="Calibri" w:hAnsi="Times New Roman"/>
          <w:sz w:val="28"/>
          <w:szCs w:val="28"/>
        </w:rPr>
        <w:t xml:space="preserve"> на професійно-технічну освіту через місцеві бюджети</w:t>
      </w:r>
      <w:r>
        <w:rPr>
          <w:rFonts w:ascii="Times New Roman" w:eastAsia="Calibri" w:hAnsi="Times New Roman"/>
          <w:sz w:val="28"/>
          <w:szCs w:val="28"/>
        </w:rPr>
        <w:t>. З них близько 5 млрд гривень – з бюджетів міст</w:t>
      </w:r>
      <w:r w:rsidR="0099280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обласного значення. Щороку ці видатки зростають, так, якщо у 2019 році з місцевих бюджетів виділено 10,4 млрд гривень (з них з міських – близько 5,5 млрд гривень), то в 2020 році – вже 11,1 млрд гривень (з них з міських – близько 6 млрд гривень). </w:t>
      </w:r>
      <w:r w:rsidR="00992802">
        <w:rPr>
          <w:rFonts w:ascii="Times New Roman" w:eastAsia="Calibri" w:hAnsi="Times New Roman"/>
          <w:sz w:val="28"/>
          <w:szCs w:val="28"/>
        </w:rPr>
        <w:t>Разом з тим,</w:t>
      </w:r>
      <w:r>
        <w:rPr>
          <w:rFonts w:ascii="Times New Roman" w:eastAsia="Calibri" w:hAnsi="Times New Roman"/>
          <w:sz w:val="28"/>
          <w:szCs w:val="28"/>
        </w:rPr>
        <w:t xml:space="preserve"> обласні бюджети, на відміну від бюджетів міст, мають додатковий ресурс для фінансування </w:t>
      </w:r>
      <w:proofErr w:type="spellStart"/>
      <w:r>
        <w:rPr>
          <w:rFonts w:ascii="Times New Roman" w:eastAsia="Calibri" w:hAnsi="Times New Roman"/>
          <w:sz w:val="28"/>
          <w:szCs w:val="28"/>
        </w:rPr>
        <w:t>профтехосвіти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– податок на прибуток підприємств, який у 2020 році склав 4,6 млрд гривень (без бюджету міста Києва).</w:t>
      </w:r>
    </w:p>
    <w:p w:rsidR="00D12F35" w:rsidRDefault="00D12F35" w:rsidP="00BF2F2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F2F20" w:rsidRDefault="00BF2F20" w:rsidP="00BF2F2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557A0">
        <w:rPr>
          <w:rFonts w:ascii="Times New Roman" w:hAnsi="Times New Roman"/>
          <w:b/>
          <w:sz w:val="28"/>
          <w:szCs w:val="28"/>
          <w:lang w:eastAsia="ru-RU"/>
        </w:rPr>
        <w:lastRenderedPageBreak/>
        <w:t>2. Мета та завдання законопроекту</w:t>
      </w:r>
    </w:p>
    <w:p w:rsidR="00BF2F20" w:rsidRPr="004B798D" w:rsidRDefault="00BF2F20" w:rsidP="00BF2F2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753E4">
        <w:rPr>
          <w:rFonts w:ascii="Times New Roman" w:hAnsi="Times New Roman"/>
          <w:sz w:val="28"/>
          <w:szCs w:val="28"/>
          <w:lang w:eastAsia="ru-RU"/>
        </w:rPr>
        <w:t xml:space="preserve">Метою законопроекту є </w:t>
      </w:r>
      <w:r w:rsidRPr="008753E4">
        <w:rPr>
          <w:rFonts w:ascii="Times New Roman" w:hAnsi="Times New Roman"/>
          <w:sz w:val="28"/>
          <w:szCs w:val="28"/>
        </w:rPr>
        <w:t>часткове компенсування втрат джерел доходів бюджетів місцевого самоврядування та видатки, які виникли у зв’язку із передачею від держави місцевому самоврядуванню додаткових повноважень.</w:t>
      </w:r>
    </w:p>
    <w:p w:rsidR="00BF2F20" w:rsidRPr="007E58ED" w:rsidRDefault="00BF2F20" w:rsidP="00BF2F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F2F20" w:rsidRDefault="00BF2F20" w:rsidP="00BF2F2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557A0">
        <w:rPr>
          <w:rFonts w:ascii="Times New Roman" w:hAnsi="Times New Roman"/>
          <w:b/>
          <w:sz w:val="28"/>
          <w:szCs w:val="28"/>
          <w:lang w:eastAsia="ru-RU"/>
        </w:rPr>
        <w:t>3. Загальна характеристика і основні положення законопроекту</w:t>
      </w:r>
    </w:p>
    <w:p w:rsidR="00BF2F20" w:rsidRDefault="00BF2F20" w:rsidP="00BF2F2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2B3D">
        <w:rPr>
          <w:rFonts w:ascii="Times New Roman" w:hAnsi="Times New Roman"/>
          <w:sz w:val="28"/>
          <w:szCs w:val="28"/>
          <w:lang w:eastAsia="ru-RU"/>
        </w:rPr>
        <w:t xml:space="preserve">Законопроектом пропонується внести зміни до Бюджетного кодексу України щодо розподілу надходжень податку на доходу фізичних осіб між місцевими бюджетами. Законопроект передбачає: </w:t>
      </w:r>
    </w:p>
    <w:p w:rsidR="00BF2F20" w:rsidRDefault="00BF2F20" w:rsidP="00BF2F2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52B3D">
        <w:rPr>
          <w:rFonts w:ascii="Times New Roman" w:hAnsi="Times New Roman"/>
          <w:sz w:val="28"/>
          <w:szCs w:val="28"/>
        </w:rPr>
        <w:t xml:space="preserve">1. Збільшення відсотку зарахування до доходів загального фонду бюджетів сільських, селищних, міських територіальних громад податку на доходи фізичних осіб із </w:t>
      </w:r>
      <w:r w:rsidRPr="00D12F35">
        <w:rPr>
          <w:rFonts w:ascii="Times New Roman" w:hAnsi="Times New Roman"/>
          <w:b/>
          <w:sz w:val="28"/>
          <w:szCs w:val="28"/>
        </w:rPr>
        <w:t>60 до 65 відсотків</w:t>
      </w:r>
      <w:r w:rsidRPr="00352B3D">
        <w:rPr>
          <w:rFonts w:ascii="Times New Roman" w:hAnsi="Times New Roman"/>
          <w:sz w:val="28"/>
          <w:szCs w:val="28"/>
        </w:rPr>
        <w:t xml:space="preserve"> (зміни до статті 64 БКУ).</w:t>
      </w:r>
    </w:p>
    <w:p w:rsidR="00BF2F20" w:rsidRPr="004B798D" w:rsidRDefault="00BF2F20" w:rsidP="00BF2F2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52B3D">
        <w:rPr>
          <w:rFonts w:ascii="Times New Roman" w:hAnsi="Times New Roman"/>
          <w:sz w:val="28"/>
          <w:szCs w:val="28"/>
        </w:rPr>
        <w:t xml:space="preserve">2. Зменшення відсотку зарахування до доходів загального фонду бюджету Автономної Республіки Крим та обласних бюджетів податку на доходи фізичних осіб із </w:t>
      </w:r>
      <w:r w:rsidRPr="00D12F35">
        <w:rPr>
          <w:rFonts w:ascii="Times New Roman" w:hAnsi="Times New Roman"/>
          <w:b/>
          <w:sz w:val="28"/>
          <w:szCs w:val="28"/>
        </w:rPr>
        <w:t>15 до 10 відсотків</w:t>
      </w:r>
      <w:r w:rsidRPr="00352B3D">
        <w:rPr>
          <w:rFonts w:ascii="Times New Roman" w:hAnsi="Times New Roman"/>
          <w:sz w:val="28"/>
          <w:szCs w:val="28"/>
        </w:rPr>
        <w:t xml:space="preserve"> (зміни до статті 66 БКУ). </w:t>
      </w:r>
    </w:p>
    <w:p w:rsidR="00BF2F20" w:rsidRPr="00352B3D" w:rsidRDefault="00BF2F20" w:rsidP="00BF2F2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highlight w:val="lightGray"/>
        </w:rPr>
      </w:pPr>
    </w:p>
    <w:p w:rsidR="00D12F35" w:rsidRDefault="00D12F35" w:rsidP="00D12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557A0">
        <w:rPr>
          <w:rFonts w:ascii="Times New Roman" w:hAnsi="Times New Roman"/>
          <w:b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b/>
          <w:sz w:val="28"/>
          <w:szCs w:val="28"/>
          <w:lang w:eastAsia="ru-RU"/>
        </w:rPr>
        <w:t>Стан нормативно-правової бази у даній сфері правового регулювання</w:t>
      </w:r>
    </w:p>
    <w:p w:rsidR="00D12F35" w:rsidRDefault="00D12F35" w:rsidP="00D12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Основним нормативно-правовим актом у</w:t>
      </w:r>
      <w:r w:rsidRPr="00C557A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8047DE">
        <w:rPr>
          <w:rFonts w:ascii="Times New Roman" w:hAnsi="Times New Roman"/>
          <w:bCs/>
          <w:iCs/>
          <w:sz w:val="28"/>
          <w:szCs w:val="28"/>
          <w:lang w:eastAsia="ru-RU"/>
        </w:rPr>
        <w:t>даній сфері правового регулювання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є </w:t>
      </w:r>
      <w:r w:rsidRPr="00C557A0">
        <w:rPr>
          <w:rFonts w:ascii="Times New Roman" w:hAnsi="Times New Roman"/>
          <w:sz w:val="28"/>
          <w:szCs w:val="28"/>
          <w:lang w:eastAsia="ru-RU"/>
        </w:rPr>
        <w:t xml:space="preserve">Бюджетний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C557A0">
        <w:rPr>
          <w:rFonts w:ascii="Times New Roman" w:hAnsi="Times New Roman"/>
          <w:sz w:val="28"/>
          <w:szCs w:val="28"/>
          <w:lang w:eastAsia="ru-RU"/>
        </w:rPr>
        <w:t>одекс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F2F20" w:rsidRPr="00352B3D" w:rsidRDefault="00BF2F20" w:rsidP="00BF2F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BF2F20" w:rsidRDefault="00BF2F20" w:rsidP="00BF2F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557A0">
        <w:rPr>
          <w:rFonts w:ascii="Times New Roman" w:hAnsi="Times New Roman"/>
          <w:b/>
          <w:sz w:val="28"/>
          <w:szCs w:val="28"/>
          <w:lang w:eastAsia="ru-RU"/>
        </w:rPr>
        <w:t>5. Фінансово-економічне обґрунтування</w:t>
      </w:r>
    </w:p>
    <w:p w:rsidR="00BF2F20" w:rsidRPr="004B798D" w:rsidRDefault="00BF2F20" w:rsidP="00BF2F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557A0">
        <w:rPr>
          <w:rFonts w:ascii="Times New Roman" w:hAnsi="Times New Roman"/>
          <w:sz w:val="28"/>
          <w:szCs w:val="28"/>
          <w:lang w:eastAsia="ru-RU"/>
        </w:rPr>
        <w:t>Реалізація запропонованого законопроекту здійснюватиметься з урахуванням галузевого та бюджетного законодавства та не потребуватиме додаткових витрат з Державного бюджету України та місцевих бюджетів.</w:t>
      </w:r>
    </w:p>
    <w:p w:rsidR="00BF2F20" w:rsidRPr="00E90E11" w:rsidRDefault="00BF2F20" w:rsidP="00BF2F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12F35" w:rsidRDefault="00D12F35" w:rsidP="00D12F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557A0">
        <w:rPr>
          <w:rFonts w:ascii="Times New Roman" w:hAnsi="Times New Roman"/>
          <w:b/>
          <w:sz w:val="28"/>
          <w:szCs w:val="28"/>
          <w:lang w:eastAsia="ru-RU"/>
        </w:rPr>
        <w:t>9. Прогноз</w:t>
      </w:r>
      <w:r>
        <w:rPr>
          <w:rFonts w:ascii="Times New Roman" w:hAnsi="Times New Roman"/>
          <w:b/>
          <w:sz w:val="28"/>
          <w:szCs w:val="28"/>
          <w:lang w:eastAsia="ru-RU"/>
        </w:rPr>
        <w:t>овані соціально-економічні та інші наслідки прийняття законопроекту</w:t>
      </w:r>
    </w:p>
    <w:p w:rsidR="00D12F35" w:rsidRPr="004B798D" w:rsidRDefault="00D12F35" w:rsidP="00D12F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964">
        <w:rPr>
          <w:rFonts w:ascii="Times New Roman" w:hAnsi="Times New Roman"/>
          <w:sz w:val="28"/>
          <w:szCs w:val="28"/>
          <w:lang w:eastAsia="ru-RU"/>
        </w:rPr>
        <w:t xml:space="preserve">Прийняття проекту Закону </w:t>
      </w:r>
      <w:r>
        <w:rPr>
          <w:rFonts w:ascii="Times New Roman" w:hAnsi="Times New Roman"/>
          <w:sz w:val="28"/>
          <w:szCs w:val="28"/>
          <w:lang w:eastAsia="ru-RU"/>
        </w:rPr>
        <w:t xml:space="preserve">сприятиме подальшому зміцненню фінансової спроможності територіальних громад та збереже і примножить здобутки реформи місцевого самоврядування та територіальної організації влади. </w:t>
      </w:r>
    </w:p>
    <w:p w:rsidR="00BF2F20" w:rsidRDefault="00BF2F20" w:rsidP="00BF2F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12F35" w:rsidRPr="007E58ED" w:rsidRDefault="00D12F35" w:rsidP="00BF2F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F2F20" w:rsidRDefault="00BF2F20" w:rsidP="00BF2F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12F35" w:rsidRDefault="00D12F35" w:rsidP="00BF2F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12F35" w:rsidRDefault="00D12F35" w:rsidP="00D12F35">
      <w:pPr>
        <w:autoSpaceDE w:val="0"/>
        <w:autoSpaceDN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</w:pPr>
      <w:proofErr w:type="spellStart"/>
      <w:r w:rsidRPr="00486C21"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>Наро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>дні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>депутати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>України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ab/>
      </w:r>
      <w:proofErr w:type="spellStart"/>
      <w:r w:rsidRPr="00486C21"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>Тістик</w:t>
      </w:r>
      <w:proofErr w:type="spellEnd"/>
      <w:r w:rsidRPr="00486C21"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 xml:space="preserve"> Р.Я. (</w:t>
      </w:r>
      <w:proofErr w:type="gramStart"/>
      <w:r w:rsidRPr="00486C21"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>посв.№</w:t>
      </w:r>
      <w:proofErr w:type="gramEnd"/>
      <w:r w:rsidRPr="00486C21"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>107)</w:t>
      </w:r>
    </w:p>
    <w:p w:rsidR="00D12F35" w:rsidRPr="00550EDD" w:rsidRDefault="00D12F35" w:rsidP="00D12F35">
      <w:pPr>
        <w:autoSpaceDE w:val="0"/>
        <w:autoSpaceDN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  <w:t xml:space="preserve"> </w:t>
      </w:r>
      <w:r w:rsidRPr="00486C2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та інші </w:t>
      </w:r>
    </w:p>
    <w:p w:rsidR="004E7104" w:rsidRPr="00BF2F20" w:rsidRDefault="004E7104" w:rsidP="00BF2F20"/>
    <w:sectPr w:rsidR="004E7104" w:rsidRPr="00BF2F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F68ED"/>
    <w:multiLevelType w:val="hybridMultilevel"/>
    <w:tmpl w:val="1826AF2E"/>
    <w:lvl w:ilvl="0" w:tplc="0A8887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91946"/>
    <w:multiLevelType w:val="hybridMultilevel"/>
    <w:tmpl w:val="B436284C"/>
    <w:lvl w:ilvl="0" w:tplc="0A8887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F0F91"/>
    <w:multiLevelType w:val="hybridMultilevel"/>
    <w:tmpl w:val="AF9A48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6B"/>
    <w:rsid w:val="00014409"/>
    <w:rsid w:val="004C3D4A"/>
    <w:rsid w:val="004E7104"/>
    <w:rsid w:val="005B63FD"/>
    <w:rsid w:val="008C2C6B"/>
    <w:rsid w:val="00992802"/>
    <w:rsid w:val="00BF2F20"/>
    <w:rsid w:val="00D12F35"/>
    <w:rsid w:val="00E01F6D"/>
    <w:rsid w:val="00E2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8606E-3A4E-497C-9412-CAA0EEBD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F20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1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2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F2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6F2071-3BAB-42F1-B128-B0A669BD44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B65D32-3E73-48BC-8138-D2DBCBBAD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53AE3-4922-4B88-8565-713ABBA19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4485</Words>
  <Characters>2557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2021-03-04T14:47:00Z</dcterms:created>
  <dcterms:modified xsi:type="dcterms:W3CDTF">2021-03-04T14:47:00Z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