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299"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9"/>
      </w:tblGrid>
      <w:tr w:rsidR="00397159" w:rsidRPr="007D713B" w:rsidTr="00397159">
        <w:tc>
          <w:tcPr>
            <w:tcW w:w="12299" w:type="dxa"/>
            <w:tcBorders>
              <w:top w:val="nil"/>
              <w:left w:val="nil"/>
              <w:bottom w:val="nil"/>
              <w:right w:val="nil"/>
            </w:tcBorders>
          </w:tcPr>
          <w:p w:rsidR="00397159" w:rsidRPr="007D713B" w:rsidRDefault="00397159">
            <w:pPr>
              <w:spacing w:after="0" w:line="240" w:lineRule="auto"/>
              <w:rPr>
                <w:rFonts w:ascii="Times New Roman" w:hAnsi="Times New Roman"/>
                <w:color w:val="002060"/>
                <w:sz w:val="32"/>
                <w:szCs w:val="32"/>
                <w:lang w:val="uk-UA"/>
              </w:rPr>
            </w:pPr>
            <w:bookmarkStart w:id="0" w:name="_GoBack"/>
            <w:bookmarkEnd w:id="0"/>
            <w:r w:rsidRPr="007D713B">
              <w:rPr>
                <w:noProof/>
                <w:lang w:val="uk-UA" w:eastAsia="uk-UA"/>
              </w:rPr>
              <w:drawing>
                <wp:anchor distT="360045" distB="0" distL="114300" distR="114300" simplePos="0" relativeHeight="251659264" behindDoc="0" locked="0" layoutInCell="1" allowOverlap="1">
                  <wp:simplePos x="0" y="0"/>
                  <wp:positionH relativeFrom="margin">
                    <wp:posOffset>3573145</wp:posOffset>
                  </wp:positionH>
                  <wp:positionV relativeFrom="paragraph">
                    <wp:posOffset>17145</wp:posOffset>
                  </wp:positionV>
                  <wp:extent cx="461010" cy="63690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p>
          <w:p w:rsidR="00397159" w:rsidRPr="007D713B" w:rsidRDefault="00397159">
            <w:pPr>
              <w:spacing w:after="0" w:line="240" w:lineRule="auto"/>
              <w:rPr>
                <w:rFonts w:ascii="Times New Roman" w:hAnsi="Times New Roman"/>
                <w:color w:val="002060"/>
                <w:sz w:val="32"/>
                <w:szCs w:val="32"/>
                <w:lang w:val="uk-UA"/>
              </w:rPr>
            </w:pPr>
          </w:p>
          <w:p w:rsidR="00397159" w:rsidRPr="007D713B" w:rsidRDefault="00397159">
            <w:pPr>
              <w:spacing w:after="0" w:line="240" w:lineRule="auto"/>
              <w:rPr>
                <w:rFonts w:ascii="Times New Roman" w:hAnsi="Times New Roman"/>
                <w:color w:val="002060"/>
                <w:sz w:val="32"/>
                <w:szCs w:val="32"/>
                <w:lang w:val="uk-UA"/>
              </w:rPr>
            </w:pPr>
          </w:p>
          <w:p w:rsidR="00397159" w:rsidRPr="007D713B" w:rsidRDefault="00397159">
            <w:pPr>
              <w:spacing w:before="80" w:after="0" w:line="240" w:lineRule="auto"/>
              <w:jc w:val="center"/>
              <w:rPr>
                <w:rFonts w:ascii="Times New Roman" w:hAnsi="Times New Roman"/>
                <w:color w:val="1829A8"/>
                <w:spacing w:val="20"/>
                <w:sz w:val="34"/>
                <w:szCs w:val="34"/>
                <w:lang w:val="uk-UA"/>
              </w:rPr>
            </w:pPr>
            <w:r w:rsidRPr="007D713B">
              <w:rPr>
                <w:rFonts w:ascii="Times New Roman" w:hAnsi="Times New Roman"/>
                <w:color w:val="1829A8"/>
                <w:spacing w:val="20"/>
                <w:sz w:val="34"/>
                <w:szCs w:val="34"/>
                <w:lang w:val="uk-UA"/>
              </w:rPr>
              <w:t>ВЕРХОВНА РАДА УКРАЇНИ</w:t>
            </w:r>
          </w:p>
          <w:p w:rsidR="00397159" w:rsidRPr="007D713B" w:rsidRDefault="00397159">
            <w:pPr>
              <w:spacing w:before="100" w:after="0" w:line="240" w:lineRule="auto"/>
              <w:jc w:val="center"/>
              <w:rPr>
                <w:rFonts w:ascii="Times New Roman" w:hAnsi="Times New Roman"/>
                <w:b/>
                <w:color w:val="1829A8"/>
                <w:spacing w:val="20"/>
                <w:sz w:val="24"/>
                <w:szCs w:val="24"/>
                <w:lang w:val="uk-UA"/>
              </w:rPr>
            </w:pPr>
            <w:r w:rsidRPr="007D713B">
              <w:rPr>
                <w:rFonts w:ascii="Times New Roman" w:hAnsi="Times New Roman"/>
                <w:b/>
                <w:color w:val="1829A8"/>
                <w:spacing w:val="20"/>
                <w:sz w:val="24"/>
                <w:szCs w:val="24"/>
                <w:lang w:val="uk-UA"/>
              </w:rPr>
              <w:t>Комітет з питань антикорупційної політики</w:t>
            </w:r>
          </w:p>
          <w:p w:rsidR="00397159" w:rsidRPr="007D713B" w:rsidRDefault="00397159">
            <w:pPr>
              <w:spacing w:before="160" w:after="60" w:line="240" w:lineRule="auto"/>
              <w:jc w:val="center"/>
              <w:rPr>
                <w:color w:val="002060"/>
                <w:sz w:val="20"/>
                <w:szCs w:val="20"/>
                <w:lang w:val="uk-UA"/>
              </w:rPr>
            </w:pPr>
            <w:r w:rsidRPr="007D713B">
              <w:rPr>
                <w:rFonts w:ascii="Times New Roman" w:hAnsi="Times New Roman"/>
                <w:color w:val="1829A8"/>
                <w:sz w:val="20"/>
                <w:szCs w:val="20"/>
                <w:lang w:val="uk-UA"/>
              </w:rPr>
              <w:t xml:space="preserve">01008, м.Київ-8, вул. М. Грушевського, 5, </w:t>
            </w:r>
            <w:proofErr w:type="spellStart"/>
            <w:r w:rsidRPr="007D713B">
              <w:rPr>
                <w:rFonts w:ascii="Times New Roman" w:hAnsi="Times New Roman"/>
                <w:color w:val="1829A8"/>
                <w:sz w:val="20"/>
                <w:szCs w:val="20"/>
                <w:lang w:val="uk-UA"/>
              </w:rPr>
              <w:t>тел</w:t>
            </w:r>
            <w:proofErr w:type="spellEnd"/>
            <w:r w:rsidRPr="007D713B">
              <w:rPr>
                <w:rFonts w:ascii="Times New Roman" w:hAnsi="Times New Roman"/>
                <w:color w:val="1829A8"/>
                <w:sz w:val="20"/>
                <w:szCs w:val="20"/>
                <w:lang w:val="uk-UA"/>
              </w:rPr>
              <w:t>.: (044) 255-35-03,  e-</w:t>
            </w:r>
            <w:proofErr w:type="spellStart"/>
            <w:r w:rsidRPr="007D713B">
              <w:rPr>
                <w:rFonts w:ascii="Times New Roman" w:hAnsi="Times New Roman"/>
                <w:color w:val="1829A8"/>
                <w:sz w:val="20"/>
                <w:szCs w:val="20"/>
                <w:lang w:val="uk-UA"/>
              </w:rPr>
              <w:t>mail</w:t>
            </w:r>
            <w:proofErr w:type="spellEnd"/>
            <w:r w:rsidRPr="007D713B">
              <w:rPr>
                <w:rFonts w:ascii="Times New Roman" w:hAnsi="Times New Roman"/>
                <w:color w:val="1829A8"/>
                <w:sz w:val="20"/>
                <w:szCs w:val="20"/>
                <w:lang w:val="uk-UA"/>
              </w:rPr>
              <w:t>: crimecor@rada.gov.ua</w:t>
            </w:r>
          </w:p>
        </w:tc>
      </w:tr>
    </w:tbl>
    <w:tbl>
      <w:tblPr>
        <w:tblStyle w:val="a3"/>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397159" w:rsidRPr="007D713B" w:rsidTr="00397159">
        <w:tc>
          <w:tcPr>
            <w:tcW w:w="1087" w:type="dxa"/>
            <w:tcBorders>
              <w:top w:val="nil"/>
              <w:left w:val="nil"/>
              <w:bottom w:val="nil"/>
              <w:right w:val="nil"/>
            </w:tcBorders>
          </w:tcPr>
          <w:p w:rsidR="00397159" w:rsidRPr="007D713B" w:rsidRDefault="00397159">
            <w:pPr>
              <w:spacing w:line="240" w:lineRule="auto"/>
              <w:rPr>
                <w:rFonts w:ascii="Times New Roman" w:hAnsi="Times New Roman"/>
                <w:color w:val="002060"/>
                <w:lang w:val="uk-UA"/>
              </w:rPr>
            </w:pPr>
          </w:p>
        </w:tc>
        <w:tc>
          <w:tcPr>
            <w:tcW w:w="9714" w:type="dxa"/>
            <w:tcBorders>
              <w:top w:val="thinThickMediumGap" w:sz="12" w:space="0" w:color="0033CC"/>
              <w:left w:val="nil"/>
              <w:bottom w:val="nil"/>
              <w:right w:val="nil"/>
            </w:tcBorders>
          </w:tcPr>
          <w:p w:rsidR="00397159" w:rsidRPr="007D713B" w:rsidRDefault="00397159">
            <w:pPr>
              <w:spacing w:line="240" w:lineRule="auto"/>
              <w:rPr>
                <w:rFonts w:ascii="Times New Roman" w:hAnsi="Times New Roman"/>
                <w:color w:val="002060"/>
                <w:lang w:val="uk-UA"/>
              </w:rPr>
            </w:pPr>
          </w:p>
        </w:tc>
        <w:tc>
          <w:tcPr>
            <w:tcW w:w="1086" w:type="dxa"/>
            <w:tcBorders>
              <w:top w:val="nil"/>
              <w:left w:val="nil"/>
              <w:bottom w:val="nil"/>
              <w:right w:val="nil"/>
            </w:tcBorders>
          </w:tcPr>
          <w:p w:rsidR="00397159" w:rsidRPr="007D713B" w:rsidRDefault="00397159">
            <w:pPr>
              <w:spacing w:line="240" w:lineRule="auto"/>
              <w:rPr>
                <w:rFonts w:ascii="Times New Roman" w:hAnsi="Times New Roman"/>
                <w:color w:val="002060"/>
                <w:lang w:val="uk-UA"/>
              </w:rPr>
            </w:pPr>
          </w:p>
        </w:tc>
      </w:tr>
    </w:tbl>
    <w:p w:rsidR="00397159" w:rsidRPr="007D713B" w:rsidRDefault="00397159" w:rsidP="00397159">
      <w:pPr>
        <w:spacing w:after="0" w:line="240" w:lineRule="auto"/>
        <w:rPr>
          <w:rFonts w:ascii="Times New Roman" w:hAnsi="Times New Roman"/>
          <w:color w:val="002060"/>
          <w:sz w:val="2"/>
          <w:szCs w:val="2"/>
          <w:lang w:val="uk-UA"/>
        </w:rPr>
      </w:pPr>
    </w:p>
    <w:p w:rsidR="00397159" w:rsidRPr="007D713B" w:rsidRDefault="00397159" w:rsidP="00397159">
      <w:pPr>
        <w:spacing w:after="240" w:line="240" w:lineRule="auto"/>
        <w:rPr>
          <w:rFonts w:ascii="Times New Roman" w:eastAsia="Times New Roman" w:hAnsi="Times New Roman"/>
          <w:sz w:val="24"/>
          <w:szCs w:val="24"/>
          <w:lang w:val="uk-UA" w:eastAsia="uk-UA"/>
        </w:rPr>
      </w:pPr>
    </w:p>
    <w:p w:rsidR="00397159" w:rsidRPr="007D713B" w:rsidRDefault="00397159" w:rsidP="00397159">
      <w:pPr>
        <w:spacing w:after="240" w:line="240" w:lineRule="auto"/>
        <w:rPr>
          <w:rFonts w:ascii="Times New Roman" w:eastAsia="Times New Roman" w:hAnsi="Times New Roman"/>
          <w:sz w:val="24"/>
          <w:szCs w:val="24"/>
          <w:lang w:val="uk-UA" w:eastAsia="uk-UA"/>
        </w:rPr>
      </w:pPr>
    </w:p>
    <w:p w:rsidR="00397159" w:rsidRPr="007D713B" w:rsidRDefault="00397159" w:rsidP="00397159">
      <w:pPr>
        <w:spacing w:after="0" w:line="360" w:lineRule="auto"/>
        <w:ind w:left="4536"/>
        <w:jc w:val="both"/>
        <w:rPr>
          <w:rFonts w:ascii="Times New Roman" w:eastAsia="Times New Roman" w:hAnsi="Times New Roman"/>
          <w:color w:val="000000"/>
          <w:sz w:val="28"/>
          <w:szCs w:val="28"/>
          <w:lang w:val="uk-UA" w:eastAsia="uk-UA"/>
        </w:rPr>
      </w:pPr>
      <w:r w:rsidRPr="007D713B">
        <w:rPr>
          <w:rFonts w:ascii="Times New Roman" w:eastAsia="Times New Roman" w:hAnsi="Times New Roman"/>
          <w:color w:val="000000"/>
          <w:sz w:val="28"/>
          <w:szCs w:val="28"/>
          <w:lang w:val="uk-UA" w:eastAsia="uk-UA"/>
        </w:rPr>
        <w:t xml:space="preserve">Комітет Верховної Ради України з питань </w:t>
      </w:r>
      <w:r w:rsidR="00F36E87" w:rsidRPr="007D713B">
        <w:rPr>
          <w:rFonts w:ascii="Times New Roman" w:eastAsia="Times New Roman" w:hAnsi="Times New Roman"/>
          <w:color w:val="000000"/>
          <w:sz w:val="28"/>
          <w:szCs w:val="28"/>
          <w:lang w:val="uk-UA" w:eastAsia="uk-UA"/>
        </w:rPr>
        <w:t>з питань правової політики</w:t>
      </w:r>
    </w:p>
    <w:p w:rsidR="00397159" w:rsidRPr="007D713B" w:rsidRDefault="00397159" w:rsidP="00397159">
      <w:pPr>
        <w:spacing w:after="0" w:line="360" w:lineRule="auto"/>
        <w:ind w:left="4536"/>
        <w:jc w:val="both"/>
        <w:rPr>
          <w:rFonts w:ascii="Times New Roman" w:eastAsia="Times New Roman" w:hAnsi="Times New Roman"/>
          <w:color w:val="000000"/>
          <w:sz w:val="24"/>
          <w:szCs w:val="24"/>
          <w:lang w:val="uk-UA" w:eastAsia="uk-UA"/>
        </w:rPr>
      </w:pPr>
    </w:p>
    <w:p w:rsidR="00397159" w:rsidRPr="007D713B" w:rsidRDefault="00397159" w:rsidP="00397159">
      <w:pPr>
        <w:spacing w:after="0" w:line="360" w:lineRule="auto"/>
        <w:ind w:left="709"/>
        <w:rPr>
          <w:rFonts w:ascii="Times New Roman" w:eastAsia="Times New Roman" w:hAnsi="Times New Roman"/>
          <w:sz w:val="24"/>
          <w:szCs w:val="24"/>
          <w:lang w:val="uk-UA" w:eastAsia="uk-UA"/>
        </w:rPr>
      </w:pPr>
      <w:r w:rsidRPr="007D713B">
        <w:rPr>
          <w:rFonts w:ascii="Times New Roman" w:eastAsia="Times New Roman" w:hAnsi="Times New Roman"/>
          <w:color w:val="000000"/>
          <w:sz w:val="24"/>
          <w:szCs w:val="24"/>
          <w:lang w:val="uk-UA" w:eastAsia="uk-UA"/>
        </w:rPr>
        <w:t>Рішення Комітету</w:t>
      </w:r>
    </w:p>
    <w:p w:rsidR="00397159" w:rsidRPr="007D713B" w:rsidRDefault="00397159" w:rsidP="00397159">
      <w:pPr>
        <w:spacing w:after="0" w:line="360" w:lineRule="auto"/>
        <w:ind w:right="-330" w:firstLine="709"/>
        <w:jc w:val="both"/>
        <w:rPr>
          <w:rFonts w:ascii="Times New Roman" w:eastAsia="Times New Roman" w:hAnsi="Times New Roman"/>
          <w:sz w:val="24"/>
          <w:szCs w:val="24"/>
          <w:lang w:val="uk-UA" w:eastAsia="uk-UA"/>
        </w:rPr>
      </w:pPr>
      <w:r w:rsidRPr="007D713B">
        <w:rPr>
          <w:rFonts w:ascii="Times New Roman" w:eastAsia="Times New Roman" w:hAnsi="Times New Roman"/>
          <w:color w:val="000000"/>
          <w:sz w:val="24"/>
          <w:szCs w:val="24"/>
          <w:lang w:val="uk-UA" w:eastAsia="uk-UA"/>
        </w:rPr>
        <w:t>щодо експертного висновку</w:t>
      </w:r>
    </w:p>
    <w:p w:rsidR="00397159" w:rsidRPr="007D713B" w:rsidRDefault="00380677" w:rsidP="00397159">
      <w:pPr>
        <w:spacing w:after="0" w:line="360" w:lineRule="auto"/>
        <w:ind w:right="-330" w:firstLine="709"/>
        <w:jc w:val="both"/>
        <w:rPr>
          <w:rFonts w:ascii="Times New Roman" w:eastAsia="Times New Roman" w:hAnsi="Times New Roman"/>
          <w:sz w:val="24"/>
          <w:szCs w:val="24"/>
          <w:lang w:val="uk-UA" w:eastAsia="uk-UA"/>
        </w:rPr>
      </w:pPr>
      <w:r w:rsidRPr="007D713B">
        <w:rPr>
          <w:rFonts w:ascii="Times New Roman" w:eastAsia="Times New Roman" w:hAnsi="Times New Roman"/>
          <w:color w:val="000000"/>
          <w:sz w:val="24"/>
          <w:szCs w:val="24"/>
          <w:lang w:val="uk-UA" w:eastAsia="uk-UA"/>
        </w:rPr>
        <w:t>законопроекту № 5253</w:t>
      </w:r>
    </w:p>
    <w:p w:rsidR="00397159" w:rsidRPr="007D713B" w:rsidRDefault="00397159" w:rsidP="00397159">
      <w:pPr>
        <w:spacing w:after="0" w:line="360" w:lineRule="auto"/>
        <w:rPr>
          <w:rFonts w:ascii="Times New Roman" w:eastAsia="Times New Roman" w:hAnsi="Times New Roman"/>
          <w:sz w:val="24"/>
          <w:szCs w:val="24"/>
          <w:lang w:val="uk-UA" w:eastAsia="uk-UA"/>
        </w:rPr>
      </w:pPr>
    </w:p>
    <w:p w:rsidR="00397159" w:rsidRPr="007D713B" w:rsidRDefault="00397159" w:rsidP="001E1575">
      <w:pPr>
        <w:spacing w:line="360" w:lineRule="auto"/>
        <w:ind w:firstLine="709"/>
        <w:jc w:val="both"/>
        <w:rPr>
          <w:rFonts w:ascii="Times New Roman" w:eastAsia="Times New Roman" w:hAnsi="Times New Roman"/>
          <w:bCs/>
          <w:color w:val="000000"/>
          <w:sz w:val="28"/>
          <w:szCs w:val="28"/>
          <w:lang w:val="uk-UA" w:eastAsia="uk-UA"/>
        </w:rPr>
      </w:pPr>
      <w:r w:rsidRPr="007D713B">
        <w:rPr>
          <w:rFonts w:ascii="Times New Roman" w:eastAsia="Times New Roman" w:hAnsi="Times New Roman"/>
          <w:color w:val="000000"/>
          <w:sz w:val="28"/>
          <w:szCs w:val="28"/>
          <w:lang w:val="uk-UA" w:eastAsia="uk-UA"/>
        </w:rPr>
        <w:t xml:space="preserve">Згідно зі статтею 93 Регламенту Верховної Ради України, відповідно до предмета відання і за дорученням Голови Верховної Ради України, Комітет для підготовки експертного висновку щодо відповідності вимогам антикорупційного законодавства, розглянув проект Закону </w:t>
      </w:r>
      <w:r w:rsidR="001E1575" w:rsidRPr="007D713B">
        <w:rPr>
          <w:rFonts w:ascii="Times New Roman" w:eastAsia="Times New Roman" w:hAnsi="Times New Roman"/>
          <w:bCs/>
          <w:color w:val="000000"/>
          <w:sz w:val="28"/>
          <w:szCs w:val="28"/>
          <w:lang w:val="uk-UA" w:eastAsia="uk-UA"/>
        </w:rPr>
        <w:t>про в</w:t>
      </w:r>
      <w:r w:rsidR="00EF1882" w:rsidRPr="007D713B">
        <w:rPr>
          <w:rFonts w:ascii="Times New Roman" w:eastAsia="Times New Roman" w:hAnsi="Times New Roman"/>
          <w:bCs/>
          <w:color w:val="000000"/>
          <w:sz w:val="28"/>
          <w:szCs w:val="28"/>
          <w:lang w:val="uk-UA" w:eastAsia="uk-UA"/>
        </w:rPr>
        <w:t>несення змін до Закону України «Про політичні партії в Україні»</w:t>
      </w:r>
      <w:r w:rsidR="001E1575" w:rsidRPr="007D713B">
        <w:rPr>
          <w:rFonts w:ascii="Times New Roman" w:eastAsia="Times New Roman" w:hAnsi="Times New Roman"/>
          <w:bCs/>
          <w:color w:val="000000"/>
          <w:sz w:val="28"/>
          <w:szCs w:val="28"/>
          <w:lang w:val="uk-UA" w:eastAsia="uk-UA"/>
        </w:rPr>
        <w:t xml:space="preserve"> щодо удосконалення порядку зупинення та припинення державного фінансування статутної діяльності політичної партії </w:t>
      </w:r>
      <w:r w:rsidR="001E1575" w:rsidRPr="007D713B">
        <w:rPr>
          <w:rFonts w:ascii="Times New Roman" w:eastAsia="Times New Roman" w:hAnsi="Times New Roman"/>
          <w:color w:val="000000"/>
          <w:sz w:val="28"/>
          <w:szCs w:val="28"/>
          <w:lang w:val="uk-UA" w:eastAsia="uk-UA"/>
        </w:rPr>
        <w:t>(реєстр. № 5253</w:t>
      </w:r>
      <w:r w:rsidRPr="007D713B">
        <w:rPr>
          <w:rFonts w:ascii="Times New Roman" w:eastAsia="Times New Roman" w:hAnsi="Times New Roman"/>
          <w:color w:val="000000"/>
          <w:sz w:val="28"/>
          <w:szCs w:val="28"/>
          <w:lang w:val="uk-UA" w:eastAsia="uk-UA"/>
        </w:rPr>
        <w:t xml:space="preserve">), поданий народним депутатом України </w:t>
      </w:r>
      <w:r w:rsidR="001E1575" w:rsidRPr="007D713B">
        <w:rPr>
          <w:rFonts w:ascii="Times New Roman" w:eastAsia="Times New Roman" w:hAnsi="Times New Roman"/>
          <w:color w:val="000000"/>
          <w:sz w:val="28"/>
          <w:szCs w:val="28"/>
          <w:lang w:val="uk-UA" w:eastAsia="uk-UA"/>
        </w:rPr>
        <w:t>Корнієнком О.С</w:t>
      </w:r>
      <w:r w:rsidRPr="007D713B">
        <w:rPr>
          <w:rFonts w:ascii="Times New Roman" w:eastAsia="Times New Roman" w:hAnsi="Times New Roman"/>
          <w:color w:val="000000"/>
          <w:sz w:val="28"/>
          <w:szCs w:val="28"/>
          <w:lang w:val="uk-UA" w:eastAsia="uk-UA"/>
        </w:rPr>
        <w:t>. та іншими.</w:t>
      </w:r>
    </w:p>
    <w:p w:rsidR="00B4484E" w:rsidRPr="007D713B" w:rsidRDefault="00397159" w:rsidP="00B4484E">
      <w:pPr>
        <w:spacing w:line="360" w:lineRule="auto"/>
        <w:ind w:firstLine="709"/>
        <w:jc w:val="both"/>
        <w:rPr>
          <w:rFonts w:ascii="Times New Roman" w:eastAsia="Times New Roman" w:hAnsi="Times New Roman"/>
          <w:sz w:val="28"/>
          <w:szCs w:val="24"/>
          <w:lang w:val="uk-UA" w:eastAsia="ru-RU"/>
        </w:rPr>
      </w:pPr>
      <w:r w:rsidRPr="007D713B">
        <w:rPr>
          <w:rFonts w:ascii="Times New Roman" w:eastAsia="Times New Roman" w:hAnsi="Times New Roman"/>
          <w:sz w:val="28"/>
          <w:szCs w:val="24"/>
          <w:lang w:val="uk-UA" w:eastAsia="ru-RU"/>
        </w:rPr>
        <w:t xml:space="preserve">Метою законопроекту, відповідно до пояснювальної записки є </w:t>
      </w:r>
      <w:r w:rsidR="00B4484E" w:rsidRPr="007D713B">
        <w:rPr>
          <w:rFonts w:ascii="Times New Roman" w:eastAsia="Times New Roman" w:hAnsi="Times New Roman"/>
          <w:sz w:val="28"/>
          <w:szCs w:val="24"/>
          <w:lang w:val="uk-UA" w:eastAsia="ru-RU"/>
        </w:rPr>
        <w:t>вдосконалення порядку зупинення та припинення державного фінансування статутної діяльності політичних партій в Україні, що сприятиме підвищенню прозорості такого порядку</w:t>
      </w:r>
      <w:r w:rsidR="00B4484E" w:rsidRPr="007D713B">
        <w:rPr>
          <w:rFonts w:ascii="Times New Roman" w:eastAsia="Times New Roman" w:hAnsi="Times New Roman"/>
          <w:bCs/>
          <w:sz w:val="28"/>
          <w:szCs w:val="24"/>
          <w:lang w:val="uk-UA" w:eastAsia="ru-RU"/>
        </w:rPr>
        <w:t>.</w:t>
      </w:r>
    </w:p>
    <w:p w:rsidR="00397159" w:rsidRPr="007D713B" w:rsidRDefault="00480947" w:rsidP="00480947">
      <w:pPr>
        <w:shd w:val="clear" w:color="auto" w:fill="FFFFFF"/>
        <w:tabs>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eastAsia="Times New Roman" w:hAnsi="Times New Roman"/>
          <w:color w:val="000000"/>
          <w:sz w:val="28"/>
          <w:szCs w:val="28"/>
          <w:lang w:val="uk-UA"/>
        </w:rPr>
      </w:pPr>
      <w:r w:rsidRPr="007D713B">
        <w:rPr>
          <w:rFonts w:ascii="Times New Roman" w:eastAsia="Times New Roman" w:hAnsi="Times New Roman"/>
          <w:sz w:val="28"/>
          <w:szCs w:val="24"/>
          <w:lang w:val="uk-UA" w:eastAsia="ru-RU"/>
        </w:rPr>
        <w:t xml:space="preserve">1. Слід </w:t>
      </w:r>
      <w:r w:rsidR="00C94EEB">
        <w:rPr>
          <w:rFonts w:ascii="Times New Roman" w:eastAsia="Times New Roman" w:hAnsi="Times New Roman"/>
          <w:sz w:val="28"/>
          <w:szCs w:val="24"/>
          <w:lang w:val="uk-UA" w:eastAsia="ru-RU"/>
        </w:rPr>
        <w:t>за</w:t>
      </w:r>
      <w:r w:rsidRPr="007D713B">
        <w:rPr>
          <w:rFonts w:ascii="Times New Roman" w:eastAsia="Times New Roman" w:hAnsi="Times New Roman"/>
          <w:sz w:val="28"/>
          <w:szCs w:val="24"/>
          <w:lang w:val="uk-UA" w:eastAsia="ru-RU"/>
        </w:rPr>
        <w:t>значити</w:t>
      </w:r>
      <w:r w:rsidR="00E52603" w:rsidRPr="007D713B">
        <w:rPr>
          <w:rFonts w:ascii="Times New Roman" w:eastAsia="Times New Roman" w:hAnsi="Times New Roman"/>
          <w:sz w:val="28"/>
          <w:szCs w:val="24"/>
          <w:lang w:val="uk-UA" w:eastAsia="ru-RU"/>
        </w:rPr>
        <w:t xml:space="preserve">, що </w:t>
      </w:r>
      <w:r w:rsidRPr="007D713B">
        <w:rPr>
          <w:rFonts w:ascii="Times New Roman" w:eastAsia="Times New Roman" w:hAnsi="Times New Roman"/>
          <w:sz w:val="28"/>
          <w:szCs w:val="24"/>
          <w:lang w:val="uk-UA" w:eastAsia="ru-RU"/>
        </w:rPr>
        <w:t xml:space="preserve">редакція </w:t>
      </w:r>
      <w:r w:rsidR="00E52603" w:rsidRPr="007D713B">
        <w:rPr>
          <w:rFonts w:ascii="Times New Roman" w:eastAsia="Times New Roman" w:hAnsi="Times New Roman"/>
          <w:sz w:val="28"/>
          <w:szCs w:val="24"/>
          <w:lang w:val="uk-UA" w:eastAsia="ru-RU"/>
        </w:rPr>
        <w:t xml:space="preserve">законопроекту враховує </w:t>
      </w:r>
      <w:r w:rsidRPr="007D713B">
        <w:rPr>
          <w:rFonts w:ascii="Times New Roman" w:eastAsia="Times New Roman" w:hAnsi="Times New Roman"/>
          <w:sz w:val="28"/>
          <w:szCs w:val="24"/>
          <w:lang w:val="uk-UA" w:eastAsia="ru-RU"/>
        </w:rPr>
        <w:t>надані Комітетом роз’яснення</w:t>
      </w:r>
      <w:r w:rsidR="00E52603" w:rsidRPr="007D713B">
        <w:rPr>
          <w:rFonts w:ascii="Times New Roman" w:eastAsia="Times New Roman" w:hAnsi="Times New Roman"/>
          <w:sz w:val="28"/>
          <w:szCs w:val="24"/>
          <w:lang w:val="uk-UA" w:eastAsia="ru-RU"/>
        </w:rPr>
        <w:t xml:space="preserve"> </w:t>
      </w:r>
      <w:r w:rsidR="00C94EEB">
        <w:rPr>
          <w:rFonts w:ascii="Times New Roman" w:eastAsia="Times New Roman" w:hAnsi="Times New Roman"/>
          <w:sz w:val="28"/>
          <w:szCs w:val="24"/>
          <w:lang w:val="uk-UA" w:eastAsia="ru-RU"/>
        </w:rPr>
        <w:t xml:space="preserve">(лист Комітету </w:t>
      </w:r>
      <w:r w:rsidRPr="007D713B">
        <w:rPr>
          <w:rFonts w:ascii="Times New Roman" w:eastAsia="Times New Roman" w:hAnsi="Times New Roman"/>
          <w:sz w:val="28"/>
          <w:szCs w:val="24"/>
          <w:lang w:val="uk-UA" w:eastAsia="ru-RU"/>
        </w:rPr>
        <w:t>від 23 грудня 2020 року</w:t>
      </w:r>
      <w:r w:rsidR="00C94EEB">
        <w:rPr>
          <w:rFonts w:ascii="Times New Roman" w:eastAsia="Times New Roman" w:hAnsi="Times New Roman"/>
          <w:sz w:val="28"/>
          <w:szCs w:val="24"/>
          <w:lang w:val="uk-UA" w:eastAsia="ru-RU"/>
        </w:rPr>
        <w:t xml:space="preserve"> № 04-12/8-2020/250064)</w:t>
      </w:r>
      <w:r w:rsidRPr="007D713B">
        <w:rPr>
          <w:rFonts w:ascii="Times New Roman" w:eastAsia="Times New Roman" w:hAnsi="Times New Roman"/>
          <w:sz w:val="28"/>
          <w:szCs w:val="24"/>
          <w:lang w:val="uk-UA" w:eastAsia="ru-RU"/>
        </w:rPr>
        <w:t xml:space="preserve">, </w:t>
      </w:r>
      <w:r w:rsidRPr="007D713B">
        <w:rPr>
          <w:rFonts w:ascii="Times New Roman" w:eastAsia="Times New Roman" w:hAnsi="Times New Roman"/>
          <w:color w:val="000000"/>
          <w:sz w:val="28"/>
          <w:szCs w:val="28"/>
          <w:lang w:val="uk-UA"/>
        </w:rPr>
        <w:t>щодо питань, пов’язаних із державним фінансуванням статутної діяльності політичних партій</w:t>
      </w:r>
      <w:r w:rsidR="005C04E2" w:rsidRPr="007D713B">
        <w:rPr>
          <w:rFonts w:ascii="Times New Roman" w:eastAsia="Times New Roman" w:hAnsi="Times New Roman"/>
          <w:color w:val="000000"/>
          <w:sz w:val="28"/>
          <w:szCs w:val="28"/>
          <w:lang w:val="uk-UA"/>
        </w:rPr>
        <w:t xml:space="preserve">, </w:t>
      </w:r>
      <w:r w:rsidRPr="007D713B">
        <w:rPr>
          <w:rFonts w:ascii="Times New Roman" w:eastAsia="Times New Roman" w:hAnsi="Times New Roman"/>
          <w:color w:val="000000"/>
          <w:sz w:val="28"/>
          <w:szCs w:val="28"/>
          <w:lang w:val="uk-UA"/>
        </w:rPr>
        <w:t>в частині уточнення</w:t>
      </w:r>
      <w:r w:rsidR="005C04E2" w:rsidRPr="007D713B">
        <w:rPr>
          <w:rFonts w:ascii="Times New Roman" w:eastAsia="Times New Roman" w:hAnsi="Times New Roman"/>
          <w:color w:val="000000"/>
          <w:sz w:val="28"/>
          <w:szCs w:val="28"/>
          <w:lang w:val="uk-UA"/>
        </w:rPr>
        <w:t xml:space="preserve"> періоду невикористання коштів </w:t>
      </w:r>
      <w:r w:rsidR="005C04E2" w:rsidRPr="007D713B">
        <w:rPr>
          <w:rFonts w:ascii="Times New Roman" w:eastAsia="Times New Roman" w:hAnsi="Times New Roman"/>
          <w:color w:val="000000"/>
          <w:sz w:val="28"/>
          <w:szCs w:val="28"/>
          <w:lang w:val="uk-UA"/>
        </w:rPr>
        <w:lastRenderedPageBreak/>
        <w:t xml:space="preserve">державної фінансової підтримки політичних партій, як підстави припинення такої підтримки, а також щодо застосування вказаної санкції виключено у разі невикористання партією повного обсягу державної фінансової підтримки.  </w:t>
      </w:r>
    </w:p>
    <w:p w:rsidR="007D713B" w:rsidRPr="007D713B" w:rsidRDefault="00480947" w:rsidP="007D713B">
      <w:pPr>
        <w:spacing w:line="360" w:lineRule="auto"/>
        <w:ind w:firstLine="708"/>
        <w:jc w:val="both"/>
        <w:rPr>
          <w:rFonts w:ascii="Times New Roman" w:hAnsi="Times New Roman"/>
          <w:bCs/>
          <w:sz w:val="28"/>
          <w:szCs w:val="28"/>
          <w:lang w:val="uk-UA"/>
        </w:rPr>
      </w:pPr>
      <w:r w:rsidRPr="007D713B">
        <w:rPr>
          <w:rFonts w:ascii="Times New Roman" w:hAnsi="Times New Roman"/>
          <w:sz w:val="28"/>
          <w:szCs w:val="28"/>
          <w:lang w:val="uk-UA" w:eastAsia="ru-RU"/>
        </w:rPr>
        <w:t xml:space="preserve">2. </w:t>
      </w:r>
      <w:r w:rsidR="0004147A">
        <w:rPr>
          <w:rFonts w:ascii="Times New Roman" w:hAnsi="Times New Roman"/>
          <w:sz w:val="28"/>
          <w:szCs w:val="28"/>
          <w:lang w:val="uk-UA" w:eastAsia="ru-RU"/>
        </w:rPr>
        <w:t xml:space="preserve">Разом з тим у роз’ясненні </w:t>
      </w:r>
      <w:r w:rsidR="007D713B" w:rsidRPr="007D713B">
        <w:rPr>
          <w:rFonts w:ascii="Times New Roman" w:hAnsi="Times New Roman"/>
          <w:sz w:val="28"/>
          <w:szCs w:val="28"/>
          <w:lang w:val="uk-UA" w:eastAsia="ru-RU"/>
        </w:rPr>
        <w:t>Комітет</w:t>
      </w:r>
      <w:r w:rsidR="0004147A">
        <w:rPr>
          <w:rFonts w:ascii="Times New Roman" w:hAnsi="Times New Roman"/>
          <w:sz w:val="28"/>
          <w:szCs w:val="28"/>
          <w:lang w:val="uk-UA" w:eastAsia="ru-RU"/>
        </w:rPr>
        <w:t>у</w:t>
      </w:r>
      <w:r w:rsidR="007D713B" w:rsidRPr="007D713B">
        <w:rPr>
          <w:rFonts w:ascii="Times New Roman" w:hAnsi="Times New Roman"/>
          <w:sz w:val="28"/>
          <w:szCs w:val="28"/>
          <w:lang w:val="uk-UA" w:eastAsia="ru-RU"/>
        </w:rPr>
        <w:t xml:space="preserve"> </w:t>
      </w:r>
      <w:r w:rsidR="0004147A" w:rsidRPr="0004147A">
        <w:rPr>
          <w:rFonts w:ascii="Times New Roman" w:hAnsi="Times New Roman"/>
          <w:sz w:val="28"/>
          <w:szCs w:val="28"/>
          <w:lang w:val="uk-UA" w:eastAsia="ru-RU"/>
        </w:rPr>
        <w:t>(лист Комітету від 24.06.2020 року № 04-12/7-2020/86148)</w:t>
      </w:r>
      <w:r w:rsidR="0004147A">
        <w:rPr>
          <w:rFonts w:ascii="Times New Roman" w:hAnsi="Times New Roman"/>
          <w:sz w:val="28"/>
          <w:szCs w:val="28"/>
          <w:lang w:val="uk-UA" w:eastAsia="ru-RU"/>
        </w:rPr>
        <w:t xml:space="preserve"> вказано, що </w:t>
      </w:r>
      <w:r w:rsidR="007D713B" w:rsidRPr="007D713B">
        <w:rPr>
          <w:rFonts w:ascii="Times New Roman" w:hAnsi="Times New Roman"/>
          <w:sz w:val="28"/>
          <w:szCs w:val="28"/>
          <w:lang w:val="uk-UA" w:eastAsia="ru-RU"/>
        </w:rPr>
        <w:t xml:space="preserve"> </w:t>
      </w:r>
      <w:r w:rsidR="0004147A">
        <w:rPr>
          <w:rFonts w:ascii="Times New Roman" w:hAnsi="Times New Roman"/>
          <w:sz w:val="28"/>
          <w:szCs w:val="28"/>
          <w:lang w:val="uk-UA" w:eastAsia="ru-RU"/>
        </w:rPr>
        <w:t>кошти</w:t>
      </w:r>
      <w:r w:rsidR="007D713B" w:rsidRPr="007D713B">
        <w:rPr>
          <w:rFonts w:ascii="Times New Roman" w:hAnsi="Times New Roman"/>
          <w:sz w:val="28"/>
          <w:szCs w:val="28"/>
          <w:lang w:val="uk-UA" w:eastAsia="ru-RU"/>
        </w:rPr>
        <w:t xml:space="preserve"> політичних партій</w:t>
      </w:r>
      <w:r w:rsidR="0004147A">
        <w:rPr>
          <w:rFonts w:ascii="Times New Roman" w:hAnsi="Times New Roman"/>
          <w:bCs/>
          <w:sz w:val="28"/>
          <w:szCs w:val="28"/>
          <w:lang w:val="uk-UA"/>
        </w:rPr>
        <w:t>, отримані</w:t>
      </w:r>
      <w:r w:rsidR="007D713B" w:rsidRPr="007D713B">
        <w:rPr>
          <w:rFonts w:ascii="Times New Roman" w:hAnsi="Times New Roman"/>
          <w:bCs/>
          <w:sz w:val="28"/>
          <w:szCs w:val="28"/>
          <w:lang w:val="uk-UA"/>
        </w:rPr>
        <w:t xml:space="preserve"> у вигляді відсотків, що нараховані за договором депозиту </w:t>
      </w:r>
      <w:r w:rsidR="0004147A">
        <w:rPr>
          <w:rFonts w:ascii="Times New Roman" w:hAnsi="Times New Roman"/>
          <w:bCs/>
          <w:sz w:val="28"/>
          <w:szCs w:val="28"/>
          <w:lang w:val="uk-UA"/>
        </w:rPr>
        <w:t xml:space="preserve">мають використовуватись </w:t>
      </w:r>
      <w:r w:rsidR="007D713B" w:rsidRPr="007D713B">
        <w:rPr>
          <w:rFonts w:ascii="Times New Roman" w:hAnsi="Times New Roman"/>
          <w:bCs/>
          <w:sz w:val="28"/>
          <w:szCs w:val="28"/>
          <w:lang w:val="uk-UA"/>
        </w:rPr>
        <w:t xml:space="preserve">з урахуванням </w:t>
      </w:r>
      <w:r w:rsidR="0004147A">
        <w:rPr>
          <w:rFonts w:ascii="Times New Roman" w:hAnsi="Times New Roman"/>
          <w:bCs/>
          <w:sz w:val="28"/>
          <w:szCs w:val="28"/>
          <w:lang w:val="uk-UA"/>
        </w:rPr>
        <w:t xml:space="preserve">тих же </w:t>
      </w:r>
      <w:r w:rsidR="007D713B" w:rsidRPr="007D713B">
        <w:rPr>
          <w:rFonts w:ascii="Times New Roman" w:hAnsi="Times New Roman"/>
          <w:bCs/>
          <w:sz w:val="28"/>
          <w:szCs w:val="28"/>
          <w:lang w:val="uk-UA"/>
        </w:rPr>
        <w:t>обмежень</w:t>
      </w:r>
      <w:r w:rsidR="0004147A">
        <w:rPr>
          <w:rFonts w:ascii="Times New Roman" w:hAnsi="Times New Roman"/>
          <w:bCs/>
          <w:sz w:val="28"/>
          <w:szCs w:val="28"/>
          <w:lang w:val="uk-UA"/>
        </w:rPr>
        <w:t xml:space="preserve"> та цільового призначення, що встановлені для </w:t>
      </w:r>
      <w:r w:rsidR="007D713B" w:rsidRPr="007D713B">
        <w:rPr>
          <w:rFonts w:ascii="Times New Roman" w:hAnsi="Times New Roman"/>
          <w:bCs/>
          <w:sz w:val="28"/>
          <w:szCs w:val="28"/>
          <w:lang w:val="uk-UA"/>
        </w:rPr>
        <w:t>використання коштів державної фінансової підтримки</w:t>
      </w:r>
      <w:r w:rsidR="0004147A">
        <w:rPr>
          <w:rFonts w:ascii="Times New Roman" w:hAnsi="Times New Roman"/>
          <w:bCs/>
          <w:sz w:val="28"/>
          <w:szCs w:val="28"/>
          <w:lang w:val="uk-UA"/>
        </w:rPr>
        <w:t>. Враховуючи наведене частина друга статті 17-3 у редакції проекту має бути відповідно уточнена</w:t>
      </w:r>
      <w:r w:rsidR="007D713B" w:rsidRPr="007D713B">
        <w:rPr>
          <w:rFonts w:ascii="Times New Roman" w:hAnsi="Times New Roman"/>
          <w:bCs/>
          <w:sz w:val="28"/>
          <w:szCs w:val="28"/>
          <w:lang w:val="uk-UA"/>
        </w:rPr>
        <w:t xml:space="preserve">. </w:t>
      </w:r>
    </w:p>
    <w:p w:rsidR="000E2162" w:rsidRPr="000E2162" w:rsidRDefault="000E2162" w:rsidP="00C37C6E">
      <w:pPr>
        <w:spacing w:line="360" w:lineRule="auto"/>
        <w:ind w:firstLine="709"/>
        <w:jc w:val="both"/>
        <w:rPr>
          <w:rFonts w:ascii="Times New Roman" w:hAnsi="Times New Roman"/>
          <w:b/>
          <w:sz w:val="28"/>
          <w:szCs w:val="28"/>
          <w:lang w:val="uk-UA" w:eastAsia="ru-RU"/>
        </w:rPr>
      </w:pPr>
      <w:r w:rsidRPr="000E2162">
        <w:rPr>
          <w:rFonts w:ascii="Times New Roman" w:hAnsi="Times New Roman"/>
          <w:b/>
          <w:sz w:val="28"/>
          <w:szCs w:val="28"/>
          <w:lang w:val="uk-UA" w:eastAsia="ru-RU"/>
        </w:rPr>
        <w:t xml:space="preserve">У проекті </w:t>
      </w:r>
      <w:proofErr w:type="spellStart"/>
      <w:r w:rsidRPr="000E2162">
        <w:rPr>
          <w:rFonts w:ascii="Times New Roman" w:hAnsi="Times New Roman"/>
          <w:b/>
          <w:sz w:val="28"/>
          <w:szCs w:val="28"/>
          <w:lang w:val="uk-UA" w:eastAsia="ru-RU"/>
        </w:rPr>
        <w:t>акта</w:t>
      </w:r>
      <w:proofErr w:type="spellEnd"/>
      <w:r w:rsidRPr="000E2162">
        <w:rPr>
          <w:rFonts w:ascii="Times New Roman" w:hAnsi="Times New Roman"/>
          <w:b/>
          <w:sz w:val="28"/>
          <w:szCs w:val="28"/>
          <w:lang w:val="uk-UA" w:eastAsia="ru-RU"/>
        </w:rPr>
        <w:t xml:space="preserve"> виявлено </w:t>
      </w:r>
      <w:proofErr w:type="spellStart"/>
      <w:r w:rsidRPr="000E2162">
        <w:rPr>
          <w:rFonts w:ascii="Times New Roman" w:hAnsi="Times New Roman"/>
          <w:b/>
          <w:sz w:val="28"/>
          <w:szCs w:val="28"/>
          <w:lang w:val="uk-UA" w:eastAsia="ru-RU"/>
        </w:rPr>
        <w:t>корупціогений</w:t>
      </w:r>
      <w:proofErr w:type="spellEnd"/>
      <w:r w:rsidRPr="000E2162">
        <w:rPr>
          <w:rFonts w:ascii="Times New Roman" w:hAnsi="Times New Roman"/>
          <w:b/>
          <w:sz w:val="28"/>
          <w:szCs w:val="28"/>
          <w:lang w:val="uk-UA" w:eastAsia="ru-RU"/>
        </w:rPr>
        <w:t xml:space="preserve"> фактор, що може сприяти вчиненню корупційних правопорушень в окремій нормі.</w:t>
      </w:r>
    </w:p>
    <w:p w:rsidR="00480947" w:rsidRDefault="007D713B" w:rsidP="00C37C6E">
      <w:pPr>
        <w:spacing w:line="360" w:lineRule="auto"/>
        <w:ind w:firstLine="709"/>
        <w:jc w:val="both"/>
        <w:rPr>
          <w:rFonts w:ascii="Times New Roman" w:eastAsia="Times New Roman" w:hAnsi="Times New Roman"/>
          <w:bCs/>
          <w:color w:val="000000"/>
          <w:sz w:val="28"/>
          <w:szCs w:val="28"/>
          <w:lang w:val="uk-UA" w:eastAsia="uk-UA"/>
        </w:rPr>
      </w:pPr>
      <w:r>
        <w:rPr>
          <w:rFonts w:ascii="Times New Roman" w:hAnsi="Times New Roman"/>
          <w:sz w:val="28"/>
          <w:szCs w:val="28"/>
          <w:lang w:val="uk-UA" w:eastAsia="ru-RU"/>
        </w:rPr>
        <w:t xml:space="preserve">3. </w:t>
      </w:r>
      <w:r w:rsidR="0047701C">
        <w:rPr>
          <w:rFonts w:ascii="Times New Roman" w:hAnsi="Times New Roman"/>
          <w:sz w:val="28"/>
          <w:szCs w:val="28"/>
          <w:lang w:val="uk-UA" w:eastAsia="ru-RU"/>
        </w:rPr>
        <w:t xml:space="preserve">Змінами до статті 17 Закону України «Про політичні партії в Україні» у редакції законопроекту пропонується </w:t>
      </w:r>
      <w:r w:rsidR="00C37C6E">
        <w:rPr>
          <w:rFonts w:ascii="Times New Roman" w:hAnsi="Times New Roman"/>
          <w:sz w:val="28"/>
          <w:szCs w:val="28"/>
          <w:lang w:val="uk-UA" w:eastAsia="ru-RU"/>
        </w:rPr>
        <w:t>визначити, що «</w:t>
      </w:r>
      <w:r w:rsidR="00C37C6E" w:rsidRPr="00C37C6E">
        <w:rPr>
          <w:rFonts w:ascii="Times New Roman" w:eastAsia="Times New Roman" w:hAnsi="Times New Roman"/>
          <w:bCs/>
          <w:color w:val="000000"/>
          <w:sz w:val="28"/>
          <w:szCs w:val="28"/>
          <w:lang w:val="uk-UA" w:eastAsia="uk-UA"/>
        </w:rPr>
        <w:t xml:space="preserve">Національне агентство з питань запобігання корупції </w:t>
      </w:r>
      <w:r w:rsidR="00C37C6E" w:rsidRPr="00C37C6E">
        <w:rPr>
          <w:rFonts w:ascii="Times New Roman" w:eastAsia="Times New Roman" w:hAnsi="Times New Roman"/>
          <w:bCs/>
          <w:color w:val="000000"/>
          <w:sz w:val="28"/>
          <w:szCs w:val="28"/>
          <w:u w:val="single"/>
          <w:lang w:val="uk-UA" w:eastAsia="uk-UA"/>
        </w:rPr>
        <w:t>не уповноважене надавати правову оцінку</w:t>
      </w:r>
      <w:r w:rsidR="00C37C6E" w:rsidRPr="00C37C6E">
        <w:rPr>
          <w:rFonts w:ascii="Times New Roman" w:eastAsia="Times New Roman" w:hAnsi="Times New Roman"/>
          <w:bCs/>
          <w:color w:val="000000"/>
          <w:sz w:val="28"/>
          <w:szCs w:val="28"/>
          <w:lang w:val="uk-UA" w:eastAsia="uk-UA"/>
        </w:rPr>
        <w:t xml:space="preserve"> </w:t>
      </w:r>
      <w:r w:rsidR="00C37C6E" w:rsidRPr="00C37C6E">
        <w:rPr>
          <w:rFonts w:ascii="Times New Roman" w:eastAsia="Times New Roman" w:hAnsi="Times New Roman"/>
          <w:bCs/>
          <w:color w:val="000000"/>
          <w:sz w:val="28"/>
          <w:szCs w:val="28"/>
          <w:u w:val="single"/>
          <w:lang w:val="uk-UA" w:eastAsia="uk-UA"/>
        </w:rPr>
        <w:t xml:space="preserve">якості робіт чи послуг, що надавались політичній партії, їх доцільності для діяльності політичної партії, </w:t>
      </w:r>
      <w:r w:rsidR="00C37C6E" w:rsidRPr="00C37C6E">
        <w:rPr>
          <w:rFonts w:ascii="Times New Roman" w:eastAsia="Times New Roman" w:hAnsi="Times New Roman"/>
          <w:bCs/>
          <w:color w:val="000000"/>
          <w:sz w:val="28"/>
          <w:szCs w:val="28"/>
          <w:lang w:val="uk-UA" w:eastAsia="uk-UA"/>
        </w:rPr>
        <w:t xml:space="preserve">а також </w:t>
      </w:r>
      <w:r w:rsidR="00C37C6E" w:rsidRPr="00C37C6E">
        <w:rPr>
          <w:rFonts w:ascii="Times New Roman" w:eastAsia="Times New Roman" w:hAnsi="Times New Roman"/>
          <w:bCs/>
          <w:color w:val="000000"/>
          <w:sz w:val="28"/>
          <w:szCs w:val="28"/>
          <w:u w:val="single"/>
          <w:lang w:val="uk-UA" w:eastAsia="uk-UA"/>
        </w:rPr>
        <w:t>встановлювати фіктивність правочинів і господарських операцій за участю політичної партії, самостійно встановлювати відповідність ринкової вартості наданих послуг.</w:t>
      </w:r>
      <w:r w:rsidR="00C37C6E">
        <w:rPr>
          <w:rFonts w:ascii="Times New Roman" w:eastAsia="Times New Roman" w:hAnsi="Times New Roman"/>
          <w:bCs/>
          <w:color w:val="000000"/>
          <w:sz w:val="28"/>
          <w:szCs w:val="28"/>
          <w:lang w:val="uk-UA" w:eastAsia="uk-UA"/>
        </w:rPr>
        <w:t xml:space="preserve">». </w:t>
      </w:r>
    </w:p>
    <w:p w:rsidR="00C37C6E" w:rsidRPr="00C37C6E" w:rsidRDefault="00624371" w:rsidP="00C37C6E">
      <w:pPr>
        <w:spacing w:line="360" w:lineRule="auto"/>
        <w:ind w:firstLine="709"/>
        <w:jc w:val="both"/>
        <w:rPr>
          <w:rFonts w:ascii="Times New Roman" w:hAnsi="Times New Roman"/>
          <w:sz w:val="28"/>
          <w:szCs w:val="28"/>
          <w:lang w:val="uk-UA" w:eastAsia="ru-RU"/>
        </w:rPr>
      </w:pPr>
      <w:r>
        <w:rPr>
          <w:rFonts w:ascii="Times New Roman" w:eastAsia="Times New Roman" w:hAnsi="Times New Roman"/>
          <w:bCs/>
          <w:color w:val="000000"/>
          <w:sz w:val="28"/>
          <w:szCs w:val="28"/>
          <w:lang w:val="uk-UA" w:eastAsia="uk-UA"/>
        </w:rPr>
        <w:t xml:space="preserve">Ця новація </w:t>
      </w:r>
      <w:r w:rsidR="00615265">
        <w:rPr>
          <w:rFonts w:ascii="Times New Roman" w:eastAsia="Times New Roman" w:hAnsi="Times New Roman"/>
          <w:bCs/>
          <w:color w:val="000000"/>
          <w:sz w:val="28"/>
          <w:szCs w:val="28"/>
          <w:lang w:val="uk-UA" w:eastAsia="uk-UA"/>
        </w:rPr>
        <w:t xml:space="preserve">унеможливить </w:t>
      </w:r>
      <w:r w:rsidR="00EE23EA">
        <w:rPr>
          <w:rFonts w:ascii="Times New Roman" w:eastAsia="Times New Roman" w:hAnsi="Times New Roman"/>
          <w:bCs/>
          <w:color w:val="000000"/>
          <w:sz w:val="28"/>
          <w:szCs w:val="28"/>
          <w:lang w:val="uk-UA" w:eastAsia="uk-UA"/>
        </w:rPr>
        <w:t xml:space="preserve">здійснення </w:t>
      </w:r>
      <w:r w:rsidR="00615265">
        <w:rPr>
          <w:rFonts w:ascii="Times New Roman" w:eastAsia="Times New Roman" w:hAnsi="Times New Roman"/>
          <w:bCs/>
          <w:color w:val="000000"/>
          <w:sz w:val="28"/>
          <w:szCs w:val="28"/>
          <w:lang w:val="uk-UA" w:eastAsia="uk-UA"/>
        </w:rPr>
        <w:t xml:space="preserve">НАЗК </w:t>
      </w:r>
      <w:r w:rsidR="00EE23EA">
        <w:rPr>
          <w:rFonts w:ascii="Times New Roman" w:eastAsia="Times New Roman" w:hAnsi="Times New Roman"/>
          <w:bCs/>
          <w:color w:val="000000"/>
          <w:sz w:val="28"/>
          <w:szCs w:val="28"/>
          <w:lang w:val="uk-UA" w:eastAsia="uk-UA"/>
        </w:rPr>
        <w:t>ефективних</w:t>
      </w:r>
      <w:r w:rsidR="00C37C6E">
        <w:rPr>
          <w:rFonts w:ascii="Times New Roman" w:eastAsia="Times New Roman" w:hAnsi="Times New Roman"/>
          <w:bCs/>
          <w:color w:val="000000"/>
          <w:sz w:val="28"/>
          <w:szCs w:val="28"/>
          <w:lang w:val="uk-UA" w:eastAsia="uk-UA"/>
        </w:rPr>
        <w:t xml:space="preserve"> перевір</w:t>
      </w:r>
      <w:r w:rsidR="00EE23EA">
        <w:rPr>
          <w:rFonts w:ascii="Times New Roman" w:eastAsia="Times New Roman" w:hAnsi="Times New Roman"/>
          <w:bCs/>
          <w:color w:val="000000"/>
          <w:sz w:val="28"/>
          <w:szCs w:val="28"/>
          <w:lang w:val="uk-UA" w:eastAsia="uk-UA"/>
        </w:rPr>
        <w:t>о</w:t>
      </w:r>
      <w:r w:rsidR="00C37C6E">
        <w:rPr>
          <w:rFonts w:ascii="Times New Roman" w:eastAsia="Times New Roman" w:hAnsi="Times New Roman"/>
          <w:bCs/>
          <w:color w:val="000000"/>
          <w:sz w:val="28"/>
          <w:szCs w:val="28"/>
          <w:lang w:val="uk-UA" w:eastAsia="uk-UA"/>
        </w:rPr>
        <w:t xml:space="preserve">к </w:t>
      </w:r>
      <w:r w:rsidR="00EE23EA">
        <w:rPr>
          <w:rFonts w:ascii="Times New Roman" w:eastAsia="Times New Roman" w:hAnsi="Times New Roman"/>
          <w:bCs/>
          <w:color w:val="000000"/>
          <w:sz w:val="28"/>
          <w:szCs w:val="28"/>
          <w:lang w:val="uk-UA" w:eastAsia="uk-UA"/>
        </w:rPr>
        <w:t xml:space="preserve">звітів </w:t>
      </w:r>
      <w:r w:rsidR="00EE23EA" w:rsidRPr="00EE23EA">
        <w:rPr>
          <w:rFonts w:ascii="Times New Roman" w:eastAsia="Times New Roman" w:hAnsi="Times New Roman"/>
          <w:bCs/>
          <w:color w:val="000000"/>
          <w:sz w:val="28"/>
          <w:szCs w:val="28"/>
          <w:lang w:val="uk-UA" w:eastAsia="uk-UA"/>
        </w:rPr>
        <w:t xml:space="preserve">про майно, доходи, витрати і зобов’язання фінансового характеру </w:t>
      </w:r>
      <w:r w:rsidR="00EE23EA">
        <w:rPr>
          <w:rFonts w:ascii="Times New Roman" w:eastAsia="Times New Roman" w:hAnsi="Times New Roman"/>
          <w:bCs/>
          <w:color w:val="000000"/>
          <w:sz w:val="28"/>
          <w:szCs w:val="28"/>
          <w:lang w:val="uk-UA" w:eastAsia="uk-UA"/>
        </w:rPr>
        <w:t>політичних партій</w:t>
      </w:r>
      <w:r w:rsidR="00615265">
        <w:rPr>
          <w:rFonts w:ascii="Times New Roman" w:eastAsia="Times New Roman" w:hAnsi="Times New Roman"/>
          <w:bCs/>
          <w:color w:val="000000"/>
          <w:sz w:val="28"/>
          <w:szCs w:val="28"/>
          <w:lang w:val="uk-UA" w:eastAsia="uk-UA"/>
        </w:rPr>
        <w:t xml:space="preserve"> та, як наслідок, </w:t>
      </w:r>
      <w:proofErr w:type="spellStart"/>
      <w:r w:rsidR="00615265">
        <w:rPr>
          <w:rFonts w:ascii="Times New Roman" w:eastAsia="Times New Roman" w:hAnsi="Times New Roman"/>
          <w:bCs/>
          <w:color w:val="000000"/>
          <w:sz w:val="28"/>
          <w:szCs w:val="28"/>
          <w:lang w:val="uk-UA" w:eastAsia="uk-UA"/>
        </w:rPr>
        <w:t>зневілює</w:t>
      </w:r>
      <w:proofErr w:type="spellEnd"/>
      <w:r w:rsidR="00615265">
        <w:rPr>
          <w:rFonts w:ascii="Times New Roman" w:eastAsia="Times New Roman" w:hAnsi="Times New Roman"/>
          <w:bCs/>
          <w:color w:val="000000"/>
          <w:sz w:val="28"/>
          <w:szCs w:val="28"/>
          <w:lang w:val="uk-UA" w:eastAsia="uk-UA"/>
        </w:rPr>
        <w:t xml:space="preserve"> існуючи засади прозорості та доброчесності у використанні державного фінансування політичними партіями</w:t>
      </w:r>
      <w:r w:rsidR="00C37C6E">
        <w:rPr>
          <w:rFonts w:ascii="Times New Roman" w:eastAsia="Times New Roman" w:hAnsi="Times New Roman"/>
          <w:bCs/>
          <w:color w:val="000000"/>
          <w:sz w:val="28"/>
          <w:szCs w:val="28"/>
          <w:lang w:val="uk-UA" w:eastAsia="uk-UA"/>
        </w:rPr>
        <w:t xml:space="preserve">.  </w:t>
      </w:r>
    </w:p>
    <w:p w:rsidR="00397159" w:rsidRPr="007D713B" w:rsidRDefault="00397159" w:rsidP="00EF1882">
      <w:pPr>
        <w:spacing w:after="0" w:line="360" w:lineRule="auto"/>
        <w:ind w:firstLine="709"/>
        <w:jc w:val="both"/>
        <w:outlineLvl w:val="2"/>
        <w:rPr>
          <w:rFonts w:ascii="Times New Roman" w:eastAsia="Times New Roman" w:hAnsi="Times New Roman"/>
          <w:bCs/>
          <w:color w:val="000000"/>
          <w:sz w:val="28"/>
          <w:szCs w:val="28"/>
          <w:lang w:val="uk-UA" w:eastAsia="uk-UA"/>
        </w:rPr>
      </w:pPr>
      <w:r w:rsidRPr="007D713B">
        <w:rPr>
          <w:rFonts w:ascii="Times New Roman" w:eastAsia="Times New Roman" w:hAnsi="Times New Roman"/>
          <w:color w:val="000000"/>
          <w:sz w:val="27"/>
          <w:szCs w:val="27"/>
          <w:lang w:val="uk-UA" w:eastAsia="uk-UA"/>
        </w:rPr>
        <w:t xml:space="preserve">Керуючись положеннями пункту 3 частини першої статті 16 Закону України «Про комітети Верховної Ради України», статті 55 Закону України «Про запобігання корупції», частини першої статті 93 Регламенту Верховної Ради України,  Комітет на своєму засіданні 15 червня 2021 року, протокол № 82 дійшов до висновку та прийняв рішення, що </w:t>
      </w:r>
      <w:r w:rsidRPr="007D713B">
        <w:rPr>
          <w:rFonts w:ascii="Times New Roman" w:eastAsia="Times New Roman" w:hAnsi="Times New Roman"/>
          <w:bCs/>
          <w:color w:val="000000"/>
          <w:sz w:val="28"/>
          <w:szCs w:val="28"/>
          <w:lang w:val="uk-UA" w:eastAsia="uk-UA"/>
        </w:rPr>
        <w:t xml:space="preserve">проект Закону </w:t>
      </w:r>
      <w:r w:rsidR="00EF1882" w:rsidRPr="007D713B">
        <w:rPr>
          <w:rFonts w:ascii="Times New Roman" w:eastAsia="Times New Roman" w:hAnsi="Times New Roman"/>
          <w:bCs/>
          <w:color w:val="000000"/>
          <w:sz w:val="28"/>
          <w:szCs w:val="28"/>
          <w:lang w:val="uk-UA" w:eastAsia="uk-UA"/>
        </w:rPr>
        <w:t xml:space="preserve">про внесення змін до Закону України «Про політичні партії в Україні» щодо удосконалення порядку зупинення та припинення державного фінансування статутної діяльності політичної партії (реєстр. № 5253), поданий народним депутатом України </w:t>
      </w:r>
      <w:r w:rsidR="00EF1882" w:rsidRPr="007D713B">
        <w:rPr>
          <w:rFonts w:ascii="Times New Roman" w:eastAsia="Times New Roman" w:hAnsi="Times New Roman"/>
          <w:bCs/>
          <w:color w:val="000000"/>
          <w:sz w:val="28"/>
          <w:szCs w:val="28"/>
          <w:lang w:val="uk-UA" w:eastAsia="uk-UA"/>
        </w:rPr>
        <w:lastRenderedPageBreak/>
        <w:t xml:space="preserve">Корнієнком О.С. та </w:t>
      </w:r>
      <w:r w:rsidR="00EF1882" w:rsidRPr="00EE23EA">
        <w:rPr>
          <w:rFonts w:ascii="Times New Roman" w:eastAsia="Times New Roman" w:hAnsi="Times New Roman"/>
          <w:bCs/>
          <w:color w:val="000000"/>
          <w:sz w:val="28"/>
          <w:szCs w:val="28"/>
          <w:lang w:val="uk-UA" w:eastAsia="uk-UA"/>
        </w:rPr>
        <w:t>іншими</w:t>
      </w:r>
      <w:r w:rsidR="00EE23EA" w:rsidRPr="00EE23EA">
        <w:rPr>
          <w:rFonts w:ascii="Times New Roman" w:hAnsi="Times New Roman"/>
          <w:sz w:val="28"/>
          <w:szCs w:val="28"/>
        </w:rPr>
        <w:t xml:space="preserve"> </w:t>
      </w:r>
      <w:r w:rsidR="00EE23EA" w:rsidRPr="00EE23EA">
        <w:rPr>
          <w:rFonts w:ascii="Times New Roman" w:hAnsi="Times New Roman"/>
          <w:sz w:val="28"/>
          <w:szCs w:val="28"/>
          <w:lang w:val="uk-UA"/>
        </w:rPr>
        <w:t xml:space="preserve">містить </w:t>
      </w:r>
      <w:r w:rsidR="00EE23EA" w:rsidRPr="00EE23EA">
        <w:rPr>
          <w:rFonts w:ascii="Times New Roman" w:eastAsia="Times New Roman" w:hAnsi="Times New Roman"/>
          <w:bCs/>
          <w:color w:val="000000"/>
          <w:sz w:val="28"/>
          <w:szCs w:val="28"/>
          <w:lang w:val="uk-UA" w:eastAsia="uk-UA"/>
        </w:rPr>
        <w:t xml:space="preserve"> </w:t>
      </w:r>
      <w:proofErr w:type="spellStart"/>
      <w:r w:rsidR="00EE23EA" w:rsidRPr="00EE23EA">
        <w:rPr>
          <w:rFonts w:ascii="Times New Roman" w:eastAsia="Times New Roman" w:hAnsi="Times New Roman"/>
          <w:bCs/>
          <w:color w:val="000000"/>
          <w:sz w:val="28"/>
          <w:szCs w:val="28"/>
          <w:lang w:val="uk-UA" w:eastAsia="uk-UA"/>
        </w:rPr>
        <w:t>корупціогений</w:t>
      </w:r>
      <w:proofErr w:type="spellEnd"/>
      <w:r w:rsidR="00EE23EA" w:rsidRPr="00EE23EA">
        <w:rPr>
          <w:rFonts w:ascii="Times New Roman" w:eastAsia="Times New Roman" w:hAnsi="Times New Roman"/>
          <w:bCs/>
          <w:color w:val="000000"/>
          <w:sz w:val="28"/>
          <w:szCs w:val="28"/>
          <w:lang w:val="uk-UA" w:eastAsia="uk-UA"/>
        </w:rPr>
        <w:t xml:space="preserve"> фактор, що може сприяти вчиненню корупційних правопорушень в окремій нормі</w:t>
      </w:r>
      <w:r w:rsidRPr="007D713B">
        <w:rPr>
          <w:rFonts w:ascii="Times New Roman" w:eastAsia="Times New Roman" w:hAnsi="Times New Roman"/>
          <w:bCs/>
          <w:color w:val="000000"/>
          <w:sz w:val="28"/>
          <w:szCs w:val="28"/>
          <w:lang w:val="uk-UA" w:eastAsia="uk-UA"/>
        </w:rPr>
        <w:t>.</w:t>
      </w:r>
    </w:p>
    <w:p w:rsidR="00397159" w:rsidRPr="007D713B" w:rsidRDefault="00397159" w:rsidP="00397159">
      <w:pPr>
        <w:spacing w:after="0" w:line="360" w:lineRule="auto"/>
        <w:ind w:firstLine="709"/>
        <w:jc w:val="both"/>
        <w:outlineLvl w:val="2"/>
        <w:rPr>
          <w:rFonts w:ascii="Times New Roman" w:eastAsia="Times New Roman" w:hAnsi="Times New Roman"/>
          <w:bCs/>
          <w:color w:val="000000"/>
          <w:sz w:val="28"/>
          <w:szCs w:val="28"/>
          <w:lang w:val="uk-UA" w:eastAsia="uk-UA"/>
        </w:rPr>
      </w:pPr>
    </w:p>
    <w:p w:rsidR="00397159" w:rsidRPr="007D713B" w:rsidRDefault="00397159" w:rsidP="00397159">
      <w:pPr>
        <w:spacing w:after="0" w:line="240" w:lineRule="auto"/>
        <w:rPr>
          <w:rFonts w:ascii="Times New Roman" w:eastAsia="Times New Roman" w:hAnsi="Times New Roman"/>
          <w:sz w:val="24"/>
          <w:szCs w:val="24"/>
          <w:lang w:val="uk-UA" w:eastAsia="uk-UA"/>
        </w:rPr>
      </w:pPr>
      <w:r w:rsidRPr="007D713B">
        <w:rPr>
          <w:rFonts w:ascii="Times New Roman" w:eastAsia="Times New Roman" w:hAnsi="Times New Roman"/>
          <w:color w:val="000000"/>
          <w:sz w:val="24"/>
          <w:szCs w:val="24"/>
          <w:lang w:val="uk-UA" w:eastAsia="uk-UA"/>
        </w:rPr>
        <w:br/>
      </w:r>
    </w:p>
    <w:p w:rsidR="00397159" w:rsidRPr="007D713B" w:rsidRDefault="00397159" w:rsidP="00397159">
      <w:pPr>
        <w:spacing w:after="0" w:line="240" w:lineRule="auto"/>
        <w:rPr>
          <w:rFonts w:ascii="Times New Roman" w:eastAsia="Times New Roman" w:hAnsi="Times New Roman"/>
          <w:sz w:val="24"/>
          <w:szCs w:val="24"/>
          <w:lang w:val="uk-UA" w:eastAsia="uk-UA"/>
        </w:rPr>
      </w:pPr>
    </w:p>
    <w:p w:rsidR="00397159" w:rsidRPr="007D713B" w:rsidRDefault="00397159" w:rsidP="00397159">
      <w:pPr>
        <w:spacing w:after="0" w:line="240" w:lineRule="auto"/>
        <w:ind w:right="-330" w:firstLine="709"/>
        <w:rPr>
          <w:rFonts w:ascii="Times New Roman" w:eastAsia="Times New Roman" w:hAnsi="Times New Roman"/>
          <w:sz w:val="24"/>
          <w:szCs w:val="24"/>
          <w:lang w:val="uk-UA" w:eastAsia="uk-UA"/>
        </w:rPr>
      </w:pPr>
      <w:r w:rsidRPr="007D713B">
        <w:rPr>
          <w:rFonts w:ascii="Times New Roman" w:eastAsia="Times New Roman" w:hAnsi="Times New Roman"/>
          <w:color w:val="000000"/>
          <w:sz w:val="28"/>
          <w:szCs w:val="28"/>
          <w:lang w:val="uk-UA" w:eastAsia="uk-UA"/>
        </w:rPr>
        <w:t>Голова Комітету                                                                        А.О. РАДІНА</w:t>
      </w:r>
    </w:p>
    <w:p w:rsidR="00F61FBD" w:rsidRPr="007D713B" w:rsidRDefault="00397159">
      <w:pPr>
        <w:rPr>
          <w:lang w:val="uk-UA"/>
        </w:rPr>
      </w:pPr>
      <w:r w:rsidRPr="007D713B">
        <w:rPr>
          <w:rFonts w:ascii="Times New Roman" w:eastAsia="Times New Roman" w:hAnsi="Times New Roman"/>
          <w:sz w:val="24"/>
          <w:szCs w:val="24"/>
          <w:lang w:val="uk-UA" w:eastAsia="uk-UA"/>
        </w:rPr>
        <w:br/>
      </w:r>
      <w:r w:rsidRPr="007D713B">
        <w:rPr>
          <w:rFonts w:ascii="Times New Roman" w:eastAsia="Times New Roman" w:hAnsi="Times New Roman"/>
          <w:sz w:val="24"/>
          <w:szCs w:val="24"/>
          <w:lang w:val="uk-UA" w:eastAsia="uk-UA"/>
        </w:rPr>
        <w:br/>
      </w:r>
      <w:r w:rsidRPr="007D713B">
        <w:rPr>
          <w:rFonts w:ascii="Times New Roman" w:eastAsia="Times New Roman" w:hAnsi="Times New Roman"/>
          <w:sz w:val="24"/>
          <w:szCs w:val="24"/>
          <w:lang w:val="uk-UA" w:eastAsia="uk-UA"/>
        </w:rPr>
        <w:br/>
      </w:r>
      <w:r w:rsidRPr="007D713B">
        <w:rPr>
          <w:rFonts w:ascii="Times New Roman" w:eastAsia="Times New Roman" w:hAnsi="Times New Roman"/>
          <w:sz w:val="24"/>
          <w:szCs w:val="24"/>
          <w:lang w:val="uk-UA" w:eastAsia="uk-UA"/>
        </w:rPr>
        <w:br/>
      </w:r>
      <w:r w:rsidRPr="007D713B">
        <w:rPr>
          <w:rFonts w:ascii="Times New Roman" w:eastAsia="Times New Roman" w:hAnsi="Times New Roman"/>
          <w:sz w:val="24"/>
          <w:szCs w:val="24"/>
          <w:lang w:val="uk-UA" w:eastAsia="uk-UA"/>
        </w:rPr>
        <w:br/>
      </w:r>
    </w:p>
    <w:sectPr w:rsidR="00F61FBD" w:rsidRPr="007D71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9636A"/>
    <w:multiLevelType w:val="hybridMultilevel"/>
    <w:tmpl w:val="30185914"/>
    <w:lvl w:ilvl="0" w:tplc="A07A11A4">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67"/>
    <w:rsid w:val="0004147A"/>
    <w:rsid w:val="00092BD0"/>
    <w:rsid w:val="000E2162"/>
    <w:rsid w:val="001D3411"/>
    <w:rsid w:val="001E1575"/>
    <w:rsid w:val="00380677"/>
    <w:rsid w:val="00397159"/>
    <w:rsid w:val="0047701C"/>
    <w:rsid w:val="00480947"/>
    <w:rsid w:val="004B63C7"/>
    <w:rsid w:val="00561167"/>
    <w:rsid w:val="005C04E2"/>
    <w:rsid w:val="00615265"/>
    <w:rsid w:val="00624371"/>
    <w:rsid w:val="00705A91"/>
    <w:rsid w:val="007D713B"/>
    <w:rsid w:val="00A170B9"/>
    <w:rsid w:val="00AD3EF4"/>
    <w:rsid w:val="00B4484E"/>
    <w:rsid w:val="00B44BF0"/>
    <w:rsid w:val="00BC2BE5"/>
    <w:rsid w:val="00C37C6E"/>
    <w:rsid w:val="00C94EEB"/>
    <w:rsid w:val="00CE78C6"/>
    <w:rsid w:val="00E52603"/>
    <w:rsid w:val="00EE23EA"/>
    <w:rsid w:val="00EF1882"/>
    <w:rsid w:val="00F36E87"/>
    <w:rsid w:val="00F61F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0F9AB-13AE-4097-8ACA-C7A05400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159"/>
    <w:pPr>
      <w:spacing w:line="252" w:lineRule="auto"/>
    </w:pPr>
    <w:rPr>
      <w:rFonts w:ascii="Calibri" w:eastAsia="Calibri" w:hAnsi="Calibri" w:cs="Times New Roman"/>
      <w:lang w:val="ru-RU"/>
    </w:rPr>
  </w:style>
  <w:style w:type="paragraph" w:styleId="3">
    <w:name w:val="heading 3"/>
    <w:basedOn w:val="a"/>
    <w:next w:val="a"/>
    <w:link w:val="30"/>
    <w:uiPriority w:val="9"/>
    <w:semiHidden/>
    <w:unhideWhenUsed/>
    <w:qFormat/>
    <w:rsid w:val="001E15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97159"/>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1E1575"/>
    <w:rPr>
      <w:rFonts w:asciiTheme="majorHAnsi" w:eastAsiaTheme="majorEastAsia" w:hAnsiTheme="majorHAnsi" w:cstheme="majorBidi"/>
      <w:color w:val="1F4D78" w:themeColor="accent1" w:themeShade="7F"/>
      <w:sz w:val="24"/>
      <w:szCs w:val="24"/>
      <w:lang w:val="ru-RU"/>
    </w:rPr>
  </w:style>
  <w:style w:type="paragraph" w:styleId="a4">
    <w:name w:val="List Paragraph"/>
    <w:basedOn w:val="a"/>
    <w:uiPriority w:val="34"/>
    <w:qFormat/>
    <w:rsid w:val="00480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04999">
      <w:bodyDiv w:val="1"/>
      <w:marLeft w:val="0"/>
      <w:marRight w:val="0"/>
      <w:marTop w:val="0"/>
      <w:marBottom w:val="0"/>
      <w:divBdr>
        <w:top w:val="none" w:sz="0" w:space="0" w:color="auto"/>
        <w:left w:val="none" w:sz="0" w:space="0" w:color="auto"/>
        <w:bottom w:val="none" w:sz="0" w:space="0" w:color="auto"/>
        <w:right w:val="none" w:sz="0" w:space="0" w:color="auto"/>
      </w:divBdr>
    </w:div>
    <w:div w:id="184374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9C8C2-9245-4EE4-A6FC-E050B20AA5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E0A494-1D36-4CE1-B41E-0A405B831DBD}">
  <ds:schemaRefs>
    <ds:schemaRef ds:uri="http://schemas.microsoft.com/sharepoint/v3/contenttype/forms"/>
  </ds:schemaRefs>
</ds:datastoreItem>
</file>

<file path=customXml/itemProps3.xml><?xml version="1.0" encoding="utf-8"?>
<ds:datastoreItem xmlns:ds="http://schemas.openxmlformats.org/officeDocument/2006/customXml" ds:itemID="{1EB03957-C30F-4F89-9F41-15DD998BE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2369</Words>
  <Characters>1351</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Документ_549332.docx</vt: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Документ_549332.docx</dc:title>
  <dc:subject/>
  <dc:creator>Вишневська Катерина Олександрівна</dc:creator>
  <cp:keywords/>
  <dc:description/>
  <cp:lastModifiedBy>Вишневська Катерина Олександрівна</cp:lastModifiedBy>
  <cp:revision>2</cp:revision>
  <dcterms:created xsi:type="dcterms:W3CDTF">2021-06-16T11:29:00Z</dcterms:created>
  <dcterms:modified xsi:type="dcterms:W3CDTF">2021-06-16T11:29:00Z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