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C9" w:rsidRDefault="00795EC9">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12299"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9"/>
      </w:tblGrid>
      <w:tr w:rsidR="00795EC9">
        <w:tc>
          <w:tcPr>
            <w:tcW w:w="12299" w:type="dxa"/>
            <w:tcBorders>
              <w:top w:val="nil"/>
              <w:left w:val="nil"/>
              <w:bottom w:val="nil"/>
              <w:right w:val="nil"/>
            </w:tcBorders>
          </w:tcPr>
          <w:p w:rsidR="00795EC9" w:rsidRDefault="00F521E8">
            <w:pPr>
              <w:rPr>
                <w:rFonts w:ascii="Times New Roman" w:eastAsia="Times New Roman" w:hAnsi="Times New Roman" w:cs="Times New Roman"/>
                <w:color w:val="002060"/>
                <w:sz w:val="32"/>
                <w:szCs w:val="32"/>
              </w:rPr>
            </w:pPr>
            <w:r>
              <w:rPr>
                <w:noProof/>
                <w:lang w:eastAsia="uk-UA"/>
              </w:rPr>
              <w:drawing>
                <wp:anchor distT="360045" distB="0" distL="114300" distR="114300" simplePos="0" relativeHeight="251658240" behindDoc="0" locked="0" layoutInCell="1" hidden="0" allowOverlap="1">
                  <wp:simplePos x="0" y="0"/>
                  <wp:positionH relativeFrom="column">
                    <wp:posOffset>3573145</wp:posOffset>
                  </wp:positionH>
                  <wp:positionV relativeFrom="paragraph">
                    <wp:posOffset>17147</wp:posOffset>
                  </wp:positionV>
                  <wp:extent cx="461010" cy="636905"/>
                  <wp:effectExtent l="0" t="0" r="0" b="0"/>
                  <wp:wrapSquare wrapText="bothSides" distT="360045"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1010" cy="636905"/>
                          </a:xfrm>
                          <a:prstGeom prst="rect">
                            <a:avLst/>
                          </a:prstGeom>
                          <a:ln/>
                        </pic:spPr>
                      </pic:pic>
                    </a:graphicData>
                  </a:graphic>
                </wp:anchor>
              </w:drawing>
            </w:r>
          </w:p>
          <w:p w:rsidR="00795EC9" w:rsidRDefault="00795EC9">
            <w:pPr>
              <w:rPr>
                <w:rFonts w:ascii="Times New Roman" w:eastAsia="Times New Roman" w:hAnsi="Times New Roman" w:cs="Times New Roman"/>
                <w:color w:val="002060"/>
                <w:sz w:val="32"/>
                <w:szCs w:val="32"/>
              </w:rPr>
            </w:pPr>
          </w:p>
          <w:p w:rsidR="00795EC9" w:rsidRDefault="00795EC9">
            <w:pPr>
              <w:rPr>
                <w:rFonts w:ascii="Times New Roman" w:eastAsia="Times New Roman" w:hAnsi="Times New Roman" w:cs="Times New Roman"/>
                <w:color w:val="002060"/>
                <w:sz w:val="32"/>
                <w:szCs w:val="32"/>
              </w:rPr>
            </w:pPr>
          </w:p>
          <w:p w:rsidR="00795EC9" w:rsidRDefault="00F521E8">
            <w:pPr>
              <w:spacing w:before="80"/>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p>
          <w:p w:rsidR="00795EC9" w:rsidRDefault="00F521E8">
            <w:pPr>
              <w:spacing w:before="100"/>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rsidR="00795EC9" w:rsidRDefault="00F521E8">
            <w:pPr>
              <w:spacing w:before="160" w:after="60"/>
              <w:jc w:val="center"/>
              <w:rPr>
                <w:color w:val="002060"/>
              </w:rPr>
            </w:pPr>
            <w:r>
              <w:rPr>
                <w:rFonts w:ascii="Times New Roman" w:eastAsia="Times New Roman" w:hAnsi="Times New Roman" w:cs="Times New Roman"/>
                <w:color w:val="1829A8"/>
              </w:rPr>
              <w:t xml:space="preserve">01008, м.Київ-8, вул. М. Грушевського, 5, </w:t>
            </w:r>
            <w:proofErr w:type="spellStart"/>
            <w:r>
              <w:rPr>
                <w:rFonts w:ascii="Times New Roman" w:eastAsia="Times New Roman" w:hAnsi="Times New Roman" w:cs="Times New Roman"/>
                <w:color w:val="1829A8"/>
              </w:rPr>
              <w:t>тел</w:t>
            </w:r>
            <w:proofErr w:type="spellEnd"/>
            <w:r>
              <w:rPr>
                <w:rFonts w:ascii="Times New Roman" w:eastAsia="Times New Roman" w:hAnsi="Times New Roman" w:cs="Times New Roman"/>
                <w:color w:val="1829A8"/>
              </w:rPr>
              <w:t>.: (044) 255-35-03,  e-</w:t>
            </w:r>
            <w:proofErr w:type="spellStart"/>
            <w:r>
              <w:rPr>
                <w:rFonts w:ascii="Times New Roman" w:eastAsia="Times New Roman" w:hAnsi="Times New Roman" w:cs="Times New Roman"/>
                <w:color w:val="1829A8"/>
              </w:rPr>
              <w:t>mail</w:t>
            </w:r>
            <w:proofErr w:type="spellEnd"/>
            <w:r>
              <w:rPr>
                <w:rFonts w:ascii="Times New Roman" w:eastAsia="Times New Roman" w:hAnsi="Times New Roman" w:cs="Times New Roman"/>
                <w:color w:val="1829A8"/>
              </w:rPr>
              <w:t>: crimecor@rada.gov.ua</w:t>
            </w:r>
          </w:p>
        </w:tc>
      </w:tr>
    </w:tbl>
    <w:p w:rsidR="00795EC9" w:rsidRDefault="00795EC9">
      <w:pPr>
        <w:widowControl w:val="0"/>
        <w:pBdr>
          <w:top w:val="nil"/>
          <w:left w:val="nil"/>
          <w:bottom w:val="nil"/>
          <w:right w:val="nil"/>
          <w:between w:val="nil"/>
        </w:pBdr>
        <w:spacing w:after="0" w:line="276" w:lineRule="auto"/>
        <w:rPr>
          <w:color w:val="002060"/>
          <w:sz w:val="20"/>
          <w:szCs w:val="20"/>
        </w:rPr>
      </w:pPr>
    </w:p>
    <w:tbl>
      <w:tblPr>
        <w:tblStyle w:val="a6"/>
        <w:tblW w:w="11886"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795EC9">
        <w:tc>
          <w:tcPr>
            <w:tcW w:w="1087" w:type="dxa"/>
            <w:tcBorders>
              <w:top w:val="nil"/>
              <w:left w:val="nil"/>
              <w:bottom w:val="nil"/>
              <w:right w:val="nil"/>
            </w:tcBorders>
          </w:tcPr>
          <w:p w:rsidR="00795EC9" w:rsidRDefault="00795EC9">
            <w:pPr>
              <w:rPr>
                <w:rFonts w:ascii="Times New Roman" w:eastAsia="Times New Roman" w:hAnsi="Times New Roman" w:cs="Times New Roman"/>
                <w:color w:val="002060"/>
              </w:rPr>
            </w:pPr>
          </w:p>
        </w:tc>
        <w:tc>
          <w:tcPr>
            <w:tcW w:w="9714" w:type="dxa"/>
            <w:tcBorders>
              <w:top w:val="single" w:sz="12" w:space="0" w:color="0033CC"/>
              <w:left w:val="nil"/>
              <w:bottom w:val="nil"/>
              <w:right w:val="nil"/>
            </w:tcBorders>
          </w:tcPr>
          <w:p w:rsidR="00795EC9" w:rsidRDefault="00795EC9">
            <w:pPr>
              <w:rPr>
                <w:rFonts w:ascii="Times New Roman" w:eastAsia="Times New Roman" w:hAnsi="Times New Roman" w:cs="Times New Roman"/>
                <w:color w:val="002060"/>
              </w:rPr>
            </w:pPr>
          </w:p>
        </w:tc>
        <w:tc>
          <w:tcPr>
            <w:tcW w:w="1086" w:type="dxa"/>
            <w:tcBorders>
              <w:top w:val="nil"/>
              <w:left w:val="nil"/>
              <w:bottom w:val="nil"/>
              <w:right w:val="nil"/>
            </w:tcBorders>
          </w:tcPr>
          <w:p w:rsidR="00795EC9" w:rsidRDefault="00795EC9">
            <w:pPr>
              <w:rPr>
                <w:rFonts w:ascii="Times New Roman" w:eastAsia="Times New Roman" w:hAnsi="Times New Roman" w:cs="Times New Roman"/>
                <w:color w:val="002060"/>
              </w:rPr>
            </w:pPr>
          </w:p>
        </w:tc>
      </w:tr>
    </w:tbl>
    <w:p w:rsidR="00795EC9" w:rsidRDefault="00795EC9">
      <w:pPr>
        <w:spacing w:after="0" w:line="240" w:lineRule="auto"/>
        <w:rPr>
          <w:rFonts w:ascii="Times New Roman" w:eastAsia="Times New Roman" w:hAnsi="Times New Roman" w:cs="Times New Roman"/>
          <w:color w:val="002060"/>
          <w:sz w:val="2"/>
          <w:szCs w:val="2"/>
        </w:rPr>
      </w:pPr>
    </w:p>
    <w:p w:rsidR="00795EC9" w:rsidRDefault="00795EC9">
      <w:pPr>
        <w:spacing w:after="240" w:line="240" w:lineRule="auto"/>
        <w:rPr>
          <w:rFonts w:ascii="Times New Roman" w:eastAsia="Times New Roman" w:hAnsi="Times New Roman" w:cs="Times New Roman"/>
          <w:sz w:val="24"/>
          <w:szCs w:val="24"/>
        </w:rPr>
      </w:pPr>
    </w:p>
    <w:p w:rsidR="00795EC9" w:rsidRDefault="00795EC9">
      <w:pPr>
        <w:spacing w:after="240" w:line="240" w:lineRule="auto"/>
        <w:rPr>
          <w:rFonts w:ascii="Times New Roman" w:eastAsia="Times New Roman" w:hAnsi="Times New Roman" w:cs="Times New Roman"/>
          <w:sz w:val="24"/>
          <w:szCs w:val="24"/>
        </w:rPr>
      </w:pPr>
    </w:p>
    <w:p w:rsidR="00795EC9" w:rsidRDefault="00F521E8">
      <w:pPr>
        <w:spacing w:after="0" w:line="360" w:lineRule="auto"/>
        <w:ind w:left="4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Комітет Верховної Ради України з питань фінансів, податкової та митної політики</w:t>
      </w:r>
    </w:p>
    <w:p w:rsidR="00795EC9" w:rsidRDefault="00795EC9">
      <w:pPr>
        <w:spacing w:after="0" w:line="360" w:lineRule="auto"/>
        <w:ind w:left="4536"/>
        <w:jc w:val="both"/>
        <w:rPr>
          <w:rFonts w:ascii="Times New Roman" w:eastAsia="Times New Roman" w:hAnsi="Times New Roman" w:cs="Times New Roman"/>
          <w:color w:val="000000"/>
          <w:sz w:val="24"/>
          <w:szCs w:val="24"/>
        </w:rPr>
      </w:pPr>
    </w:p>
    <w:p w:rsidR="00795EC9" w:rsidRDefault="00F521E8">
      <w:pPr>
        <w:spacing w:after="0" w:line="360" w:lineRule="auto"/>
        <w:ind w:left="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Рішення Комітету</w:t>
      </w:r>
    </w:p>
    <w:p w:rsidR="00795EC9" w:rsidRDefault="00F521E8">
      <w:pPr>
        <w:spacing w:after="0" w:line="360" w:lineRule="auto"/>
        <w:ind w:right="-33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щодо експертного висновку</w:t>
      </w:r>
    </w:p>
    <w:p w:rsidR="00795EC9" w:rsidRDefault="00F521E8">
      <w:pPr>
        <w:spacing w:after="0" w:line="360" w:lineRule="auto"/>
        <w:ind w:right="-33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законопроекту № 5315</w:t>
      </w:r>
    </w:p>
    <w:p w:rsidR="00795EC9" w:rsidRDefault="00795EC9">
      <w:pPr>
        <w:spacing w:after="0" w:line="360" w:lineRule="auto"/>
        <w:rPr>
          <w:rFonts w:ascii="Times New Roman" w:eastAsia="Times New Roman" w:hAnsi="Times New Roman" w:cs="Times New Roman"/>
          <w:sz w:val="24"/>
          <w:szCs w:val="24"/>
        </w:rPr>
      </w:pPr>
    </w:p>
    <w:p w:rsidR="00795EC9" w:rsidRDefault="00F521E8">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про страхування (реєстр. № 5315), поданий народним депутатом України </w:t>
      </w:r>
      <w:proofErr w:type="spellStart"/>
      <w:r>
        <w:rPr>
          <w:rFonts w:ascii="Times New Roman" w:eastAsia="Times New Roman" w:hAnsi="Times New Roman" w:cs="Times New Roman"/>
          <w:color w:val="000000"/>
          <w:sz w:val="28"/>
          <w:szCs w:val="28"/>
        </w:rPr>
        <w:t>Гетманцевим</w:t>
      </w:r>
      <w:proofErr w:type="spellEnd"/>
      <w:r>
        <w:rPr>
          <w:rFonts w:ascii="Times New Roman" w:eastAsia="Times New Roman" w:hAnsi="Times New Roman" w:cs="Times New Roman"/>
          <w:color w:val="000000"/>
          <w:sz w:val="28"/>
          <w:szCs w:val="28"/>
        </w:rPr>
        <w:t xml:space="preserve"> Д.О. та іншими.</w:t>
      </w:r>
    </w:p>
    <w:p w:rsidR="00795EC9" w:rsidRDefault="00F521E8">
      <w:pPr>
        <w:spacing w:line="360" w:lineRule="auto"/>
        <w:ind w:firstLine="709"/>
        <w:jc w:val="both"/>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sz w:val="28"/>
          <w:szCs w:val="28"/>
        </w:rPr>
        <w:t>Метою законопроекту, відповідно до пояснювальної записки є оновлення відносин у сфері страхування, загальних правових засад здійснення діяльності зі страхування, а також визначення повноважень Національного банку України із здійснення планових заходів державного нагляду (контролю) за діяльністю страховиків відповідно до кращих міжнародних практик, що дозволить забезпечити функціонування ефективного ринку страхових послуг як невід’ємної частини економіки України та належний рівень захищеності клієнтів.</w:t>
      </w:r>
      <w:r>
        <w:rPr>
          <w:rFonts w:ascii="Times New Roman" w:eastAsia="Times New Roman" w:hAnsi="Times New Roman" w:cs="Times New Roman"/>
          <w:b/>
          <w:color w:val="000000"/>
          <w:sz w:val="28"/>
          <w:szCs w:val="28"/>
        </w:rPr>
        <w:t xml:space="preserve"> </w:t>
      </w:r>
    </w:p>
    <w:p w:rsidR="00795EC9" w:rsidRDefault="00F521E8">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У проекті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виявлено </w:t>
      </w:r>
      <w:proofErr w:type="spellStart"/>
      <w:r>
        <w:rPr>
          <w:rFonts w:ascii="Times New Roman" w:eastAsia="Times New Roman" w:hAnsi="Times New Roman" w:cs="Times New Roman"/>
          <w:b/>
          <w:color w:val="000000"/>
          <w:sz w:val="28"/>
          <w:szCs w:val="28"/>
        </w:rPr>
        <w:t>корупціогенні</w:t>
      </w:r>
      <w:proofErr w:type="spellEnd"/>
      <w:r>
        <w:rPr>
          <w:rFonts w:ascii="Times New Roman" w:eastAsia="Times New Roman" w:hAnsi="Times New Roman" w:cs="Times New Roman"/>
          <w:b/>
          <w:color w:val="000000"/>
          <w:sz w:val="28"/>
          <w:szCs w:val="28"/>
        </w:rPr>
        <w:t xml:space="preserve"> фактори, що можуть сприяти вчиненню корупційних правопорушень.</w:t>
      </w:r>
    </w:p>
    <w:p w:rsidR="00795EC9" w:rsidRDefault="00F521E8">
      <w:pPr>
        <w:shd w:val="clear" w:color="auto" w:fill="FFFFFF"/>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У законопроекті використовуються відсильні норми, реалізація яких потребує ухвалення Регулятором (Національний банк України) відповідних підзаконних нормативно-правових актів, що свідчить про </w:t>
      </w:r>
      <w:r w:rsidR="000910EB">
        <w:rPr>
          <w:rFonts w:ascii="Times New Roman" w:eastAsia="Times New Roman" w:hAnsi="Times New Roman" w:cs="Times New Roman"/>
          <w:sz w:val="28"/>
          <w:szCs w:val="28"/>
        </w:rPr>
        <w:t xml:space="preserve">надмірну </w:t>
      </w:r>
      <w:proofErr w:type="spellStart"/>
      <w:r w:rsidR="007377E8">
        <w:rPr>
          <w:rFonts w:ascii="Times New Roman" w:eastAsia="Times New Roman" w:hAnsi="Times New Roman" w:cs="Times New Roman"/>
          <w:sz w:val="28"/>
          <w:szCs w:val="28"/>
        </w:rPr>
        <w:t>дискрецію</w:t>
      </w:r>
      <w:proofErr w:type="spellEnd"/>
      <w:r w:rsidR="007377E8">
        <w:rPr>
          <w:rFonts w:ascii="Times New Roman" w:eastAsia="Times New Roman" w:hAnsi="Times New Roman" w:cs="Times New Roman"/>
          <w:sz w:val="28"/>
          <w:szCs w:val="28"/>
        </w:rPr>
        <w:t xml:space="preserve"> </w:t>
      </w:r>
      <w:r w:rsidR="000910EB">
        <w:rPr>
          <w:rFonts w:ascii="Times New Roman" w:eastAsia="Times New Roman" w:hAnsi="Times New Roman" w:cs="Times New Roman"/>
          <w:sz w:val="28"/>
          <w:szCs w:val="28"/>
        </w:rPr>
        <w:t>у повноваженнях регулятора, зокрема при встановленні правил ліцензування.</w:t>
      </w:r>
      <w:r>
        <w:rPr>
          <w:rFonts w:ascii="Times New Roman" w:eastAsia="Times New Roman" w:hAnsi="Times New Roman" w:cs="Times New Roman"/>
          <w:sz w:val="28"/>
          <w:szCs w:val="28"/>
        </w:rPr>
        <w:t xml:space="preserve"> Так, у частині 3 статті 15 законопроекту пропонується встановити, що порядок видачі ліцензії філії страховика-нерезидента, а також перелік документів та інформації, необхідних для видачі такої ліцензії, визначається нормативно-правовими актами Регулятора.</w:t>
      </w:r>
    </w:p>
    <w:p w:rsidR="00795EC9" w:rsidRDefault="00F521E8">
      <w:pPr>
        <w:shd w:val="clear" w:color="auto" w:fill="FFFFFF"/>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Аналогічне зауваження стосується, зокрема, частини 1 статті 16, частин 6 і 7 статті 18 тощо.  </w:t>
      </w:r>
    </w:p>
    <w:p w:rsidR="00795EC9" w:rsidRDefault="000910E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21E8">
        <w:rPr>
          <w:rFonts w:ascii="Times New Roman" w:eastAsia="Times New Roman" w:hAnsi="Times New Roman" w:cs="Times New Roman"/>
          <w:sz w:val="28"/>
          <w:szCs w:val="28"/>
        </w:rPr>
        <w:t xml:space="preserve"> Законопроект оперує конструкціями оціночного характеру, так п. 10 частини 4 статті 82 законопроекту передбачається, що «</w:t>
      </w:r>
      <w:r w:rsidR="00F521E8">
        <w:rPr>
          <w:rFonts w:ascii="Times New Roman" w:eastAsia="Times New Roman" w:hAnsi="Times New Roman" w:cs="Times New Roman"/>
          <w:sz w:val="28"/>
          <w:szCs w:val="28"/>
          <w:u w:val="single"/>
        </w:rPr>
        <w:t>систематичне</w:t>
      </w:r>
      <w:r w:rsidR="00F521E8">
        <w:rPr>
          <w:rFonts w:ascii="Times New Roman" w:eastAsia="Times New Roman" w:hAnsi="Times New Roman" w:cs="Times New Roman"/>
          <w:sz w:val="28"/>
          <w:szCs w:val="28"/>
        </w:rPr>
        <w:t xml:space="preserve"> порушення страховим посередником та його керівниками законодавства про реалізацію страхових та </w:t>
      </w:r>
      <w:proofErr w:type="spellStart"/>
      <w:r w:rsidR="00F521E8">
        <w:rPr>
          <w:rFonts w:ascii="Times New Roman" w:eastAsia="Times New Roman" w:hAnsi="Times New Roman" w:cs="Times New Roman"/>
          <w:sz w:val="28"/>
          <w:szCs w:val="28"/>
        </w:rPr>
        <w:t>перестрахових</w:t>
      </w:r>
      <w:proofErr w:type="spellEnd"/>
      <w:r w:rsidR="00F521E8">
        <w:rPr>
          <w:rFonts w:ascii="Times New Roman" w:eastAsia="Times New Roman" w:hAnsi="Times New Roman" w:cs="Times New Roman"/>
          <w:sz w:val="28"/>
          <w:szCs w:val="28"/>
        </w:rPr>
        <w:t xml:space="preserve"> продуктів та/або про захист прав споживачів», є підставою для вилучення страхових посередників </w:t>
      </w:r>
      <w:r w:rsidR="00B32022">
        <w:rPr>
          <w:rFonts w:ascii="Times New Roman" w:eastAsia="Times New Roman" w:hAnsi="Times New Roman" w:cs="Times New Roman"/>
          <w:sz w:val="28"/>
          <w:szCs w:val="28"/>
        </w:rPr>
        <w:t xml:space="preserve">страховиком </w:t>
      </w:r>
      <w:r w:rsidR="00F521E8">
        <w:rPr>
          <w:rFonts w:ascii="Times New Roman" w:eastAsia="Times New Roman" w:hAnsi="Times New Roman" w:cs="Times New Roman"/>
          <w:sz w:val="28"/>
          <w:szCs w:val="28"/>
        </w:rPr>
        <w:t>з від</w:t>
      </w:r>
      <w:r w:rsidR="00B32022">
        <w:rPr>
          <w:rFonts w:ascii="Times New Roman" w:eastAsia="Times New Roman" w:hAnsi="Times New Roman" w:cs="Times New Roman"/>
          <w:sz w:val="28"/>
          <w:szCs w:val="28"/>
        </w:rPr>
        <w:t>повідного Реєстру. Водночас, визначення систематичних порушень у законопроекті відсутнє, що надає надмірні дискреційні повноваження страховику при вирішенні питання щодо вилучення з реєстру страхових посередників</w:t>
      </w:r>
      <w:r w:rsidR="00F521E8">
        <w:rPr>
          <w:rFonts w:ascii="Times New Roman" w:eastAsia="Times New Roman" w:hAnsi="Times New Roman" w:cs="Times New Roman"/>
          <w:sz w:val="28"/>
          <w:szCs w:val="28"/>
        </w:rPr>
        <w:t>.</w:t>
      </w:r>
      <w:r w:rsidR="002364D9">
        <w:rPr>
          <w:rFonts w:ascii="Times New Roman" w:eastAsia="Times New Roman" w:hAnsi="Times New Roman" w:cs="Times New Roman"/>
          <w:sz w:val="28"/>
          <w:szCs w:val="28"/>
        </w:rPr>
        <w:t xml:space="preserve"> </w:t>
      </w:r>
    </w:p>
    <w:p w:rsidR="00B32022" w:rsidRDefault="00B32022" w:rsidP="00B320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32022">
        <w:t xml:space="preserve"> </w:t>
      </w:r>
      <w:r w:rsidRPr="00B32022">
        <w:rPr>
          <w:rFonts w:ascii="Times New Roman" w:eastAsia="Times New Roman" w:hAnsi="Times New Roman" w:cs="Times New Roman"/>
          <w:sz w:val="28"/>
          <w:szCs w:val="28"/>
        </w:rPr>
        <w:t xml:space="preserve">Пунктом 28 частини шостої статті 25 </w:t>
      </w:r>
      <w:r w:rsidR="008A69D7" w:rsidRPr="00B32022">
        <w:rPr>
          <w:rFonts w:ascii="Times New Roman" w:eastAsia="Times New Roman" w:hAnsi="Times New Roman" w:cs="Times New Roman"/>
          <w:sz w:val="28"/>
          <w:szCs w:val="28"/>
        </w:rPr>
        <w:t>законопроекту</w:t>
      </w:r>
      <w:r w:rsidRPr="00B32022">
        <w:rPr>
          <w:rFonts w:ascii="Times New Roman" w:eastAsia="Times New Roman" w:hAnsi="Times New Roman" w:cs="Times New Roman"/>
          <w:sz w:val="28"/>
          <w:szCs w:val="28"/>
        </w:rPr>
        <w:t xml:space="preserve"> пропонується до виключної компетенції ради страховика, крім компетенції, визначеної законодавством про акціонерні товариства, віднести здійснення інших повноважень, віднесених до виключної компетенції ради страховика законодавством або статутом.</w:t>
      </w:r>
      <w:r>
        <w:rPr>
          <w:rFonts w:ascii="Times New Roman" w:eastAsia="Times New Roman" w:hAnsi="Times New Roman" w:cs="Times New Roman"/>
          <w:sz w:val="28"/>
          <w:szCs w:val="28"/>
        </w:rPr>
        <w:t xml:space="preserve"> В</w:t>
      </w:r>
      <w:r w:rsidRPr="00B32022">
        <w:rPr>
          <w:rFonts w:ascii="Times New Roman" w:eastAsia="Times New Roman" w:hAnsi="Times New Roman" w:cs="Times New Roman"/>
          <w:sz w:val="28"/>
          <w:szCs w:val="28"/>
        </w:rPr>
        <w:t xml:space="preserve">становлення відкритого переліку повноважень призводить до відсутності </w:t>
      </w:r>
      <w:r>
        <w:rPr>
          <w:rFonts w:ascii="Times New Roman" w:eastAsia="Times New Roman" w:hAnsi="Times New Roman" w:cs="Times New Roman"/>
          <w:sz w:val="28"/>
          <w:szCs w:val="28"/>
        </w:rPr>
        <w:t xml:space="preserve">правової визначеності, передбачуваності застосування норми та не забезпечує </w:t>
      </w:r>
      <w:r w:rsidRPr="00B32022">
        <w:rPr>
          <w:rFonts w:ascii="Times New Roman" w:eastAsia="Times New Roman" w:hAnsi="Times New Roman" w:cs="Times New Roman"/>
          <w:sz w:val="28"/>
          <w:szCs w:val="28"/>
        </w:rPr>
        <w:t>чітк</w:t>
      </w:r>
      <w:r>
        <w:rPr>
          <w:rFonts w:ascii="Times New Roman" w:eastAsia="Times New Roman" w:hAnsi="Times New Roman" w:cs="Times New Roman"/>
          <w:sz w:val="28"/>
          <w:szCs w:val="28"/>
        </w:rPr>
        <w:t>у регламентацію</w:t>
      </w:r>
      <w:r w:rsidRPr="00B320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повноважень</w:t>
      </w:r>
      <w:r w:rsidRPr="00B320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32022">
        <w:rPr>
          <w:rFonts w:ascii="Times New Roman" w:eastAsia="Times New Roman" w:hAnsi="Times New Roman" w:cs="Times New Roman"/>
          <w:sz w:val="28"/>
          <w:szCs w:val="28"/>
        </w:rPr>
        <w:t>Аналогічн</w:t>
      </w:r>
      <w:r>
        <w:rPr>
          <w:rFonts w:ascii="Times New Roman" w:eastAsia="Times New Roman" w:hAnsi="Times New Roman" w:cs="Times New Roman"/>
          <w:sz w:val="28"/>
          <w:szCs w:val="28"/>
        </w:rPr>
        <w:t>е</w:t>
      </w:r>
      <w:r w:rsidRPr="00B32022">
        <w:rPr>
          <w:rFonts w:ascii="Times New Roman" w:eastAsia="Times New Roman" w:hAnsi="Times New Roman" w:cs="Times New Roman"/>
          <w:sz w:val="28"/>
          <w:szCs w:val="28"/>
        </w:rPr>
        <w:t xml:space="preserve"> зауваження стосуються пункту 10 частини статті 59 законопроекту та пункту 37 частини третьої статті 114 (при здійсненні державного регулювання та нагляду за страховою (</w:t>
      </w:r>
      <w:proofErr w:type="spellStart"/>
      <w:r w:rsidRPr="00B32022">
        <w:rPr>
          <w:rFonts w:ascii="Times New Roman" w:eastAsia="Times New Roman" w:hAnsi="Times New Roman" w:cs="Times New Roman"/>
          <w:sz w:val="28"/>
          <w:szCs w:val="28"/>
        </w:rPr>
        <w:t>пер</w:t>
      </w:r>
      <w:r>
        <w:rPr>
          <w:rFonts w:ascii="Times New Roman" w:eastAsia="Times New Roman" w:hAnsi="Times New Roman" w:cs="Times New Roman"/>
          <w:sz w:val="28"/>
          <w:szCs w:val="28"/>
        </w:rPr>
        <w:t>естраховою</w:t>
      </w:r>
      <w:proofErr w:type="spellEnd"/>
      <w:r>
        <w:rPr>
          <w:rFonts w:ascii="Times New Roman" w:eastAsia="Times New Roman" w:hAnsi="Times New Roman" w:cs="Times New Roman"/>
          <w:sz w:val="28"/>
          <w:szCs w:val="28"/>
        </w:rPr>
        <w:t>) діяльністю Регулятор</w:t>
      </w:r>
      <w:r w:rsidRPr="00B32022">
        <w:rPr>
          <w:rFonts w:ascii="Times New Roman" w:eastAsia="Times New Roman" w:hAnsi="Times New Roman" w:cs="Times New Roman"/>
          <w:sz w:val="28"/>
          <w:szCs w:val="28"/>
        </w:rPr>
        <w:t>, зокрема, здійснює інші повноваження, передбачені цим Законом.</w:t>
      </w:r>
    </w:p>
    <w:p w:rsidR="00795EC9" w:rsidRPr="008A69D7" w:rsidRDefault="00F521E8" w:rsidP="008A69D7">
      <w:pPr>
        <w:spacing w:before="120" w:after="120" w:line="360" w:lineRule="auto"/>
        <w:ind w:firstLine="709"/>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lastRenderedPageBreak/>
        <w:t>4.</w:t>
      </w:r>
      <w:r w:rsidRPr="00F521E8">
        <w:t xml:space="preserve"> </w:t>
      </w:r>
      <w:r>
        <w:rPr>
          <w:rFonts w:ascii="Times New Roman" w:eastAsia="Times New Roman" w:hAnsi="Times New Roman" w:cs="Times New Roman"/>
          <w:sz w:val="28"/>
          <w:szCs w:val="28"/>
        </w:rPr>
        <w:t xml:space="preserve">Комітет також підтримує зауваження висловлені </w:t>
      </w:r>
      <w:r>
        <w:rPr>
          <w:rFonts w:ascii="Times New Roman" w:eastAsia="Times New Roman" w:hAnsi="Times New Roman" w:cs="Times New Roman"/>
          <w:sz w:val="28"/>
          <w:szCs w:val="28"/>
          <w:highlight w:val="white"/>
        </w:rPr>
        <w:t xml:space="preserve">Головним науково-експертним управлінням Апарату Верховної Ради України у висновку від 14 травня 2021 року </w:t>
      </w:r>
      <w:r>
        <w:rPr>
          <w:rFonts w:ascii="Times New Roman" w:eastAsia="Times New Roman" w:hAnsi="Times New Roman" w:cs="Times New Roman"/>
          <w:sz w:val="28"/>
          <w:szCs w:val="28"/>
        </w:rPr>
        <w:t xml:space="preserve">до цього законопроекту. </w:t>
      </w:r>
    </w:p>
    <w:p w:rsidR="00795EC9" w:rsidRDefault="00F521E8" w:rsidP="008A69D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Також відповідно до висновку Комітету Верховної Ради України з питань бюджету від </w:t>
      </w:r>
      <w:r>
        <w:rPr>
          <w:rFonts w:ascii="Times New Roman" w:eastAsia="Times New Roman" w:hAnsi="Times New Roman" w:cs="Times New Roman"/>
          <w:sz w:val="28"/>
          <w:szCs w:val="28"/>
        </w:rPr>
        <w:t>19 травня 2021 року р</w:t>
      </w:r>
      <w:r>
        <w:rPr>
          <w:rFonts w:ascii="Times New Roman" w:eastAsia="Times New Roman" w:hAnsi="Times New Roman" w:cs="Times New Roman"/>
          <w:color w:val="000000"/>
          <w:sz w:val="28"/>
          <w:szCs w:val="28"/>
        </w:rPr>
        <w:t xml:space="preserve">еалізація положень законопроекту матиме опосередкований вплив на показники бюджету (може призвести до зміни показників доходів бюджету від податку на прибуток підприємств – страховиків і підприємств – страхувальників залежно від змін їх фінансово-економічного стану в процесі реалізації даної законодавчої ініціативи, до збільшення доходів бюджету від штрафів у разі виявлення відповідних порушень, а також може потребувати додаткових видатків державного бюджету на здійснення потерпілим компенсаційної виплати залежно від практики застосування даної законодавчої ініціативи). </w:t>
      </w:r>
    </w:p>
    <w:p w:rsidR="00795EC9" w:rsidRDefault="00F521E8" w:rsidP="008A69D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Проте, всупереч вимогам статті 27 Бюджетного кодексу України та статті 91 Регламенту Верховної Ради України,</w:t>
      </w:r>
      <w:r>
        <w:rPr>
          <w:rFonts w:ascii="Times New Roman" w:eastAsia="Times New Roman" w:hAnsi="Times New Roman" w:cs="Times New Roman"/>
          <w:sz w:val="28"/>
          <w:szCs w:val="28"/>
        </w:rPr>
        <w:t xml:space="preserve"> до законопроекту </w:t>
      </w:r>
      <w:r>
        <w:rPr>
          <w:rFonts w:ascii="Times New Roman" w:eastAsia="Times New Roman" w:hAnsi="Times New Roman" w:cs="Times New Roman"/>
          <w:color w:val="000000"/>
          <w:sz w:val="28"/>
          <w:szCs w:val="28"/>
        </w:rPr>
        <w:t xml:space="preserve">не надано фінансово-економічного обґрунтування (з відповідними розрахунками). </w:t>
      </w:r>
    </w:p>
    <w:p w:rsidR="00795EC9" w:rsidRDefault="00F521E8" w:rsidP="008A69D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7"/>
          <w:szCs w:val="27"/>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15 червня 2021 року, протокол № 82 дійшов до висновку та прийняв рішення, що </w:t>
      </w:r>
      <w:r>
        <w:rPr>
          <w:rFonts w:ascii="Times New Roman" w:eastAsia="Times New Roman" w:hAnsi="Times New Roman" w:cs="Times New Roman"/>
          <w:color w:val="000000"/>
          <w:sz w:val="28"/>
          <w:szCs w:val="28"/>
        </w:rPr>
        <w:t xml:space="preserve">проект Закону про страхування (реєстр. № 5315), поданий народним депутатом України </w:t>
      </w:r>
      <w:proofErr w:type="spellStart"/>
      <w:r>
        <w:rPr>
          <w:rFonts w:ascii="Times New Roman" w:eastAsia="Times New Roman" w:hAnsi="Times New Roman" w:cs="Times New Roman"/>
          <w:color w:val="000000"/>
          <w:sz w:val="28"/>
          <w:szCs w:val="28"/>
        </w:rPr>
        <w:t>Гетманцевим</w:t>
      </w:r>
      <w:proofErr w:type="spellEnd"/>
      <w:r>
        <w:rPr>
          <w:rFonts w:ascii="Times New Roman" w:eastAsia="Times New Roman" w:hAnsi="Times New Roman" w:cs="Times New Roman"/>
          <w:color w:val="000000"/>
          <w:sz w:val="28"/>
          <w:szCs w:val="28"/>
        </w:rPr>
        <w:t xml:space="preserve"> Д.О. та іншими містить </w:t>
      </w:r>
      <w:proofErr w:type="spellStart"/>
      <w:r>
        <w:rPr>
          <w:rFonts w:ascii="Times New Roman" w:eastAsia="Times New Roman" w:hAnsi="Times New Roman" w:cs="Times New Roman"/>
          <w:color w:val="000000"/>
          <w:sz w:val="28"/>
          <w:szCs w:val="28"/>
        </w:rPr>
        <w:t>корупціогенні</w:t>
      </w:r>
      <w:proofErr w:type="spellEnd"/>
      <w:r>
        <w:rPr>
          <w:rFonts w:ascii="Times New Roman" w:eastAsia="Times New Roman" w:hAnsi="Times New Roman" w:cs="Times New Roman"/>
          <w:color w:val="000000"/>
          <w:sz w:val="28"/>
          <w:szCs w:val="28"/>
        </w:rPr>
        <w:t xml:space="preserve"> фактори, що можуть сприяти вчиненню корупційних правопорушень.</w:t>
      </w:r>
    </w:p>
    <w:p w:rsidR="00795EC9" w:rsidRDefault="00795EC9">
      <w:pPr>
        <w:spacing w:after="0" w:line="240" w:lineRule="auto"/>
        <w:rPr>
          <w:rFonts w:ascii="Times New Roman" w:eastAsia="Times New Roman" w:hAnsi="Times New Roman" w:cs="Times New Roman"/>
          <w:sz w:val="24"/>
          <w:szCs w:val="24"/>
        </w:rPr>
      </w:pPr>
    </w:p>
    <w:p w:rsidR="00795EC9" w:rsidRDefault="00795EC9">
      <w:pPr>
        <w:spacing w:after="0" w:line="240" w:lineRule="auto"/>
        <w:rPr>
          <w:rFonts w:ascii="Times New Roman" w:eastAsia="Times New Roman" w:hAnsi="Times New Roman" w:cs="Times New Roman"/>
          <w:sz w:val="24"/>
          <w:szCs w:val="24"/>
        </w:rPr>
      </w:pPr>
    </w:p>
    <w:p w:rsidR="00795EC9" w:rsidRDefault="00F521E8">
      <w:pPr>
        <w:spacing w:after="0" w:line="240" w:lineRule="auto"/>
        <w:ind w:right="-330"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Голова Комітету                                                                        А.О. РАДІНА</w:t>
      </w:r>
    </w:p>
    <w:p w:rsidR="00795EC9" w:rsidRDefault="00F521E8">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2" w:name="_GoBack"/>
      <w:bookmarkEnd w:id="2"/>
    </w:p>
    <w:sectPr w:rsidR="00795EC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C9"/>
    <w:rsid w:val="000910EB"/>
    <w:rsid w:val="002364D9"/>
    <w:rsid w:val="003A238F"/>
    <w:rsid w:val="003B57ED"/>
    <w:rsid w:val="00502486"/>
    <w:rsid w:val="007377E8"/>
    <w:rsid w:val="00795EC9"/>
    <w:rsid w:val="008A69D7"/>
    <w:rsid w:val="00A6336C"/>
    <w:rsid w:val="00B32022"/>
    <w:rsid w:val="00B95EEC"/>
    <w:rsid w:val="00F5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3518"/>
  <w15:docId w15:val="{5463C48C-8DE9-4EA8-B177-8F008C68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6E11E-91FE-4553-AAD3-C346560D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F697D-DD27-4FF6-958B-DEA6543C591D}">
  <ds:schemaRefs>
    <ds:schemaRef ds:uri="http://schemas.microsoft.com/sharepoint/v3/contenttype/forms"/>
  </ds:schemaRefs>
</ds:datastoreItem>
</file>

<file path=customXml/itemProps3.xml><?xml version="1.0" encoding="utf-8"?>
<ds:datastoreItem xmlns:ds="http://schemas.openxmlformats.org/officeDocument/2006/customXml" ds:itemID="{92FDBF46-D1A2-4DF6-8F50-757225565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3157</Words>
  <Characters>1800</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Документ_548305.docx</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Документ_548305.docx</dc:title>
  <dc:creator>Вишневська Катерина Олександрівна</dc:creator>
  <cp:lastModifiedBy>Вишневська Катерина Олександрівна</cp:lastModifiedBy>
  <cp:revision>2</cp:revision>
  <dcterms:created xsi:type="dcterms:W3CDTF">2021-06-16T12:37:00Z</dcterms:created>
  <dcterms:modified xsi:type="dcterms:W3CDTF">2021-06-16T12:37:00Z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