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BF" w:rsidRPr="00746CAE" w:rsidRDefault="003E43BF" w:rsidP="005B76BB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3E43BF" w:rsidRPr="00746CAE" w:rsidRDefault="003E43BF" w:rsidP="00ED027E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746CAE">
        <w:rPr>
          <w:rFonts w:ascii="Times New Roman" w:hAnsi="Times New Roman" w:cs="Times New Roman"/>
        </w:rPr>
        <w:t>ВИСНОВОК</w:t>
      </w:r>
    </w:p>
    <w:p w:rsidR="00C31B04" w:rsidRPr="00746CAE" w:rsidRDefault="003E43BF" w:rsidP="00ED027E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746CAE">
        <w:rPr>
          <w:rFonts w:ascii="Times New Roman" w:hAnsi="Times New Roman" w:cs="Times New Roman"/>
          <w:b/>
        </w:rPr>
        <w:t xml:space="preserve">на проект Закону України </w:t>
      </w:r>
    </w:p>
    <w:p w:rsidR="003E43BF" w:rsidRPr="00FE4A57" w:rsidRDefault="003E43BF" w:rsidP="008665D8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746CAE">
        <w:rPr>
          <w:rFonts w:ascii="Times New Roman" w:hAnsi="Times New Roman" w:cs="Times New Roman"/>
          <w:b/>
        </w:rPr>
        <w:t>«П</w:t>
      </w:r>
      <w:r w:rsidR="008665D8" w:rsidRPr="00746CAE">
        <w:rPr>
          <w:rFonts w:ascii="Times New Roman" w:hAnsi="Times New Roman" w:cs="Times New Roman"/>
          <w:b/>
        </w:rPr>
        <w:t xml:space="preserve">ро внесення зміни до розділу ХІI </w:t>
      </w:r>
      <w:r w:rsidR="008665D8" w:rsidRPr="00746CAE">
        <w:rPr>
          <w:rFonts w:ascii="Times New Roman" w:hAnsi="Times New Roman" w:cs="Times New Roman"/>
          <w:b/>
          <w:lang w:val="ru-RU"/>
        </w:rPr>
        <w:t>«</w:t>
      </w:r>
      <w:r w:rsidR="008665D8" w:rsidRPr="00FE4A57">
        <w:rPr>
          <w:rFonts w:ascii="Times New Roman" w:hAnsi="Times New Roman" w:cs="Times New Roman"/>
          <w:b/>
        </w:rPr>
        <w:t>Прикінцеві та перехідні положення</w:t>
      </w:r>
      <w:r w:rsidR="008665D8" w:rsidRPr="00FE4A57">
        <w:rPr>
          <w:rFonts w:ascii="Times New Roman" w:hAnsi="Times New Roman" w:cs="Times New Roman"/>
          <w:b/>
          <w:lang w:val="ru-RU"/>
        </w:rPr>
        <w:t>»</w:t>
      </w:r>
      <w:r w:rsidR="008665D8" w:rsidRPr="00FE4A57">
        <w:rPr>
          <w:rFonts w:ascii="Times New Roman" w:hAnsi="Times New Roman" w:cs="Times New Roman"/>
          <w:b/>
        </w:rPr>
        <w:t xml:space="preserve"> Закону України </w:t>
      </w:r>
      <w:r w:rsidR="008665D8" w:rsidRPr="00FE4A57">
        <w:rPr>
          <w:rFonts w:ascii="Times New Roman" w:hAnsi="Times New Roman" w:cs="Times New Roman"/>
          <w:b/>
          <w:lang w:val="ru-RU"/>
        </w:rPr>
        <w:t>«</w:t>
      </w:r>
      <w:r w:rsidR="008665D8" w:rsidRPr="00FE4A57">
        <w:rPr>
          <w:rFonts w:ascii="Times New Roman" w:hAnsi="Times New Roman" w:cs="Times New Roman"/>
          <w:b/>
        </w:rPr>
        <w:t>Про судоустрій і статус суддів</w:t>
      </w:r>
      <w:r w:rsidR="008665D8" w:rsidRPr="00FE4A57">
        <w:rPr>
          <w:rFonts w:ascii="Times New Roman" w:hAnsi="Times New Roman" w:cs="Times New Roman"/>
          <w:b/>
          <w:lang w:val="ru-RU"/>
        </w:rPr>
        <w:t>»</w:t>
      </w:r>
      <w:r w:rsidR="00746CAE" w:rsidRPr="00FE4A57">
        <w:rPr>
          <w:rFonts w:ascii="Times New Roman" w:hAnsi="Times New Roman" w:cs="Times New Roman"/>
          <w:b/>
          <w:lang w:val="ru-RU"/>
        </w:rPr>
        <w:t>»</w:t>
      </w:r>
    </w:p>
    <w:p w:rsidR="003E43BF" w:rsidRPr="00FE4A57" w:rsidRDefault="003E43BF" w:rsidP="00ED027E">
      <w:pPr>
        <w:pStyle w:val="a3"/>
        <w:ind w:firstLine="0"/>
        <w:rPr>
          <w:rFonts w:ascii="Times New Roman" w:hAnsi="Times New Roman" w:cs="Times New Roman"/>
        </w:rPr>
      </w:pPr>
    </w:p>
    <w:p w:rsidR="00067E74" w:rsidRPr="00FE4A57" w:rsidRDefault="003E43BF" w:rsidP="005B76BB">
      <w:pPr>
        <w:pStyle w:val="a3"/>
        <w:ind w:firstLine="709"/>
        <w:rPr>
          <w:rFonts w:ascii="Times New Roman" w:hAnsi="Times New Roman" w:cs="Times New Roman"/>
        </w:rPr>
      </w:pPr>
      <w:r w:rsidRPr="00FE4A57">
        <w:rPr>
          <w:rFonts w:ascii="Times New Roman" w:hAnsi="Times New Roman" w:cs="Times New Roman"/>
        </w:rPr>
        <w:t>Поданий законопроект розроблено</w:t>
      </w:r>
      <w:r w:rsidR="007033D8" w:rsidRPr="00FE4A57">
        <w:rPr>
          <w:rFonts w:ascii="Times New Roman" w:hAnsi="Times New Roman" w:cs="Times New Roman"/>
        </w:rPr>
        <w:t>, як це зазначено у пояснювальній записці до нього,</w:t>
      </w:r>
      <w:r w:rsidRPr="00FE4A57">
        <w:rPr>
          <w:rFonts w:ascii="Times New Roman" w:hAnsi="Times New Roman" w:cs="Times New Roman"/>
        </w:rPr>
        <w:t xml:space="preserve"> з метою </w:t>
      </w:r>
      <w:r w:rsidR="00067E74" w:rsidRPr="00FE4A57">
        <w:rPr>
          <w:rFonts w:ascii="Times New Roman" w:hAnsi="Times New Roman" w:cs="Times New Roman"/>
        </w:rPr>
        <w:t xml:space="preserve">забезпечення належної реалізації проекту Закону України </w:t>
      </w:r>
      <w:r w:rsidR="00067E74" w:rsidRPr="00FE4A57">
        <w:rPr>
          <w:rFonts w:ascii="Times New Roman" w:hAnsi="Times New Roman" w:cs="Times New Roman"/>
          <w:lang w:val="ru-RU"/>
        </w:rPr>
        <w:t>«</w:t>
      </w:r>
      <w:r w:rsidR="00067E74" w:rsidRPr="00FE4A57">
        <w:rPr>
          <w:rFonts w:ascii="Times New Roman" w:hAnsi="Times New Roman" w:cs="Times New Roman"/>
        </w:rPr>
        <w:t>Про ліквідацію Окружного адміністративного суду міста Києва та утворення Київського міського окружного адміністративного суду</w:t>
      </w:r>
      <w:r w:rsidR="00067E74" w:rsidRPr="00FE4A57">
        <w:rPr>
          <w:rFonts w:ascii="Times New Roman" w:hAnsi="Times New Roman" w:cs="Times New Roman"/>
          <w:lang w:val="ru-RU"/>
        </w:rPr>
        <w:t>»</w:t>
      </w:r>
      <w:r w:rsidR="00067E74" w:rsidRPr="00FE4A57">
        <w:rPr>
          <w:rFonts w:ascii="Times New Roman" w:hAnsi="Times New Roman" w:cs="Times New Roman"/>
        </w:rPr>
        <w:t>.</w:t>
      </w:r>
    </w:p>
    <w:p w:rsidR="00067E74" w:rsidRPr="00746CAE" w:rsidRDefault="003E43BF" w:rsidP="004A13FA">
      <w:pPr>
        <w:pStyle w:val="a3"/>
        <w:ind w:firstLine="709"/>
        <w:rPr>
          <w:rFonts w:ascii="Times New Roman" w:hAnsi="Times New Roman" w:cs="Times New Roman"/>
        </w:rPr>
      </w:pPr>
      <w:r w:rsidRPr="00FE4A57">
        <w:rPr>
          <w:rFonts w:ascii="Times New Roman" w:hAnsi="Times New Roman" w:cs="Times New Roman"/>
        </w:rPr>
        <w:t>Для досягнення вказаної мети у законопроекті пропонується</w:t>
      </w:r>
      <w:r w:rsidR="00DE53A2" w:rsidRPr="00FE4A57">
        <w:rPr>
          <w:rFonts w:ascii="Times New Roman" w:hAnsi="Times New Roman" w:cs="Times New Roman"/>
        </w:rPr>
        <w:t xml:space="preserve"> </w:t>
      </w:r>
      <w:r w:rsidR="0062129A" w:rsidRPr="00FE4A57">
        <w:rPr>
          <w:rFonts w:ascii="Times New Roman" w:hAnsi="Times New Roman" w:cs="Times New Roman"/>
        </w:rPr>
        <w:t xml:space="preserve">доповнити </w:t>
      </w:r>
      <w:r w:rsidR="004A13FA" w:rsidRPr="00FE4A57">
        <w:rPr>
          <w:rFonts w:ascii="Times New Roman" w:hAnsi="Times New Roman" w:cs="Times New Roman"/>
        </w:rPr>
        <w:t>розд</w:t>
      </w:r>
      <w:r w:rsidR="00347DB8" w:rsidRPr="00FE4A57">
        <w:rPr>
          <w:rFonts w:ascii="Times New Roman" w:hAnsi="Times New Roman" w:cs="Times New Roman"/>
        </w:rPr>
        <w:t>іл</w:t>
      </w:r>
      <w:r w:rsidR="004A13FA" w:rsidRPr="00FE4A57">
        <w:rPr>
          <w:rFonts w:ascii="Times New Roman" w:hAnsi="Times New Roman" w:cs="Times New Roman"/>
        </w:rPr>
        <w:t xml:space="preserve"> </w:t>
      </w:r>
      <w:r w:rsidR="004A13FA" w:rsidRPr="00FE4A57">
        <w:rPr>
          <w:rFonts w:ascii="Times New Roman" w:hAnsi="Times New Roman" w:cs="Times New Roman"/>
          <w:lang w:val="ru-RU"/>
        </w:rPr>
        <w:t>XII</w:t>
      </w:r>
      <w:r w:rsidR="004A13FA" w:rsidRPr="00FE4A57">
        <w:rPr>
          <w:rFonts w:ascii="Times New Roman" w:hAnsi="Times New Roman" w:cs="Times New Roman"/>
        </w:rPr>
        <w:t xml:space="preserve"> «Прикінцеві та перехідні положення» Закону України </w:t>
      </w:r>
      <w:r w:rsidR="00746CAE" w:rsidRPr="00FE4A57">
        <w:rPr>
          <w:rFonts w:ascii="Times New Roman" w:hAnsi="Times New Roman" w:cs="Times New Roman"/>
        </w:rPr>
        <w:br/>
      </w:r>
      <w:r w:rsidR="004A13FA" w:rsidRPr="00FE4A57">
        <w:rPr>
          <w:rFonts w:ascii="Times New Roman" w:hAnsi="Times New Roman" w:cs="Times New Roman"/>
        </w:rPr>
        <w:t xml:space="preserve">«Про судоустрій і статус суддів» </w:t>
      </w:r>
      <w:r w:rsidR="00347DB8" w:rsidRPr="00FE4A57">
        <w:rPr>
          <w:rFonts w:ascii="Times New Roman" w:hAnsi="Times New Roman" w:cs="Times New Roman"/>
        </w:rPr>
        <w:t xml:space="preserve">(далі – Закон) </w:t>
      </w:r>
      <w:r w:rsidR="004A13FA" w:rsidRPr="00FE4A57">
        <w:rPr>
          <w:rFonts w:ascii="Times New Roman" w:hAnsi="Times New Roman" w:cs="Times New Roman"/>
        </w:rPr>
        <w:t>п</w:t>
      </w:r>
      <w:r w:rsidR="00347DB8" w:rsidRPr="00FE4A57">
        <w:rPr>
          <w:rFonts w:ascii="Times New Roman" w:hAnsi="Times New Roman" w:cs="Times New Roman"/>
        </w:rPr>
        <w:t>унктом</w:t>
      </w:r>
      <w:r w:rsidR="004A13FA" w:rsidRPr="00FE4A57">
        <w:rPr>
          <w:rFonts w:ascii="Times New Roman" w:hAnsi="Times New Roman" w:cs="Times New Roman"/>
        </w:rPr>
        <w:t xml:space="preserve"> 3-2 такого змісту: «Установити, що під час ліквідації Окружного адміністративного суду міста Києва положення </w:t>
      </w:r>
      <w:r w:rsidR="00380616" w:rsidRPr="00FE4A57">
        <w:rPr>
          <w:rFonts w:ascii="Times New Roman" w:hAnsi="Times New Roman" w:cs="Times New Roman"/>
        </w:rPr>
        <w:t>ч. 6 ст.</w:t>
      </w:r>
      <w:r w:rsidR="004A13FA" w:rsidRPr="00FE4A57">
        <w:rPr>
          <w:rFonts w:ascii="Times New Roman" w:hAnsi="Times New Roman" w:cs="Times New Roman"/>
        </w:rPr>
        <w:t xml:space="preserve"> 147 цього Закону щодо</w:t>
      </w:r>
      <w:r w:rsidR="004A13FA" w:rsidRPr="00746CAE">
        <w:rPr>
          <w:rFonts w:ascii="Times New Roman" w:hAnsi="Times New Roman" w:cs="Times New Roman"/>
        </w:rPr>
        <w:t xml:space="preserve"> порядку припинення здійснення правосуддя судом, що ліквідується, та передачі ним судових справ застосовуються з урахуванням особливостей, визначених Законом України </w:t>
      </w:r>
      <w:r w:rsidR="00380616" w:rsidRPr="00746CAE">
        <w:rPr>
          <w:rFonts w:ascii="Times New Roman" w:hAnsi="Times New Roman" w:cs="Times New Roman"/>
        </w:rPr>
        <w:t>«</w:t>
      </w:r>
      <w:r w:rsidR="004A13FA" w:rsidRPr="00746CAE">
        <w:rPr>
          <w:rFonts w:ascii="Times New Roman" w:hAnsi="Times New Roman" w:cs="Times New Roman"/>
        </w:rPr>
        <w:t>Про ліквідацію Окружного адміністративного суду міста Києва та утворення Київського міського окружного адміністративного суду</w:t>
      </w:r>
      <w:r w:rsidR="00380616" w:rsidRPr="00746CAE">
        <w:rPr>
          <w:rFonts w:ascii="Times New Roman" w:hAnsi="Times New Roman" w:cs="Times New Roman"/>
        </w:rPr>
        <w:t>»</w:t>
      </w:r>
      <w:r w:rsidR="004A13FA" w:rsidRPr="00746CAE">
        <w:rPr>
          <w:rFonts w:ascii="Times New Roman" w:hAnsi="Times New Roman" w:cs="Times New Roman"/>
        </w:rPr>
        <w:t>.</w:t>
      </w:r>
    </w:p>
    <w:p w:rsidR="00347DB8" w:rsidRPr="00746CAE" w:rsidRDefault="00347DB8" w:rsidP="003568F8">
      <w:pPr>
        <w:pStyle w:val="a3"/>
        <w:ind w:firstLine="709"/>
        <w:rPr>
          <w:rFonts w:ascii="Times New Roman" w:hAnsi="Times New Roman" w:cs="Times New Roman"/>
        </w:rPr>
      </w:pPr>
      <w:r w:rsidRPr="00746CAE">
        <w:rPr>
          <w:rFonts w:ascii="Times New Roman" w:hAnsi="Times New Roman" w:cs="Times New Roman"/>
        </w:rPr>
        <w:t xml:space="preserve">Поданий законопроект змістовно пов'язаний із проектом Закону України </w:t>
      </w:r>
      <w:r w:rsidR="003568F8" w:rsidRPr="00746CAE">
        <w:rPr>
          <w:rFonts w:ascii="Times New Roman" w:hAnsi="Times New Roman" w:cs="Times New Roman"/>
        </w:rPr>
        <w:t xml:space="preserve">«Про ліквідацію Окружного адміністративного суду міста Києва та утворення Київського міського окружного адміністративного суду» </w:t>
      </w:r>
      <w:r w:rsidR="008158F3">
        <w:rPr>
          <w:rFonts w:ascii="Times New Roman" w:hAnsi="Times New Roman" w:cs="Times New Roman"/>
        </w:rPr>
        <w:t xml:space="preserve">                                                  </w:t>
      </w:r>
      <w:r w:rsidR="003568F8" w:rsidRPr="00746CAE">
        <w:rPr>
          <w:rFonts w:ascii="Times New Roman" w:hAnsi="Times New Roman" w:cs="Times New Roman"/>
        </w:rPr>
        <w:t>(реєстр № 5369 від 13.04.2021; далі – проект № 5369).</w:t>
      </w:r>
    </w:p>
    <w:p w:rsidR="00347DB8" w:rsidRPr="00FE4A57" w:rsidRDefault="00347DB8" w:rsidP="00347DB8">
      <w:pPr>
        <w:pStyle w:val="a3"/>
        <w:ind w:firstLine="709"/>
        <w:rPr>
          <w:rFonts w:ascii="Times New Roman" w:hAnsi="Times New Roman" w:cs="Times New Roman"/>
        </w:rPr>
      </w:pPr>
      <w:r w:rsidRPr="00FE4A57">
        <w:rPr>
          <w:rFonts w:ascii="Times New Roman" w:hAnsi="Times New Roman" w:cs="Times New Roman"/>
        </w:rPr>
        <w:t>Законопроект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EE7DA4" w:rsidRPr="00FE4A57" w:rsidRDefault="00336873" w:rsidP="005B76BB">
      <w:pPr>
        <w:spacing w:after="0" w:line="240" w:lineRule="auto"/>
        <w:ind w:firstLine="709"/>
        <w:jc w:val="both"/>
        <w:rPr>
          <w:szCs w:val="28"/>
        </w:rPr>
      </w:pPr>
      <w:r w:rsidRPr="00FE4A57">
        <w:rPr>
          <w:szCs w:val="28"/>
        </w:rPr>
        <w:t xml:space="preserve">Головне управління, розглянувши поданий проект, вважає за доцільне </w:t>
      </w:r>
      <w:r w:rsidR="003F431E" w:rsidRPr="00FE4A57">
        <w:rPr>
          <w:szCs w:val="28"/>
        </w:rPr>
        <w:t>зазначити наступне</w:t>
      </w:r>
      <w:r w:rsidRPr="00FE4A57">
        <w:rPr>
          <w:szCs w:val="28"/>
        </w:rPr>
        <w:t>.</w:t>
      </w:r>
    </w:p>
    <w:p w:rsidR="002B7766" w:rsidRPr="00746CAE" w:rsidRDefault="00347DB8" w:rsidP="00F630DC">
      <w:pPr>
        <w:spacing w:after="0" w:line="240" w:lineRule="auto"/>
        <w:ind w:firstLine="709"/>
        <w:jc w:val="both"/>
        <w:rPr>
          <w:szCs w:val="28"/>
        </w:rPr>
      </w:pPr>
      <w:r w:rsidRPr="00FE4A57">
        <w:rPr>
          <w:szCs w:val="28"/>
        </w:rPr>
        <w:t>У</w:t>
      </w:r>
      <w:r w:rsidR="0056311E" w:rsidRPr="00FE4A57">
        <w:rPr>
          <w:szCs w:val="28"/>
        </w:rPr>
        <w:t xml:space="preserve"> п. 3-2 </w:t>
      </w:r>
      <w:r w:rsidR="0056311E" w:rsidRPr="00FE4A57">
        <w:t>розд</w:t>
      </w:r>
      <w:r w:rsidR="00746CAE" w:rsidRPr="00FE4A57">
        <w:t>ілу</w:t>
      </w:r>
      <w:r w:rsidR="0056311E" w:rsidRPr="00FE4A57">
        <w:t xml:space="preserve"> </w:t>
      </w:r>
      <w:r w:rsidR="0056311E" w:rsidRPr="00FE4A57">
        <w:rPr>
          <w:lang w:val="ru-RU"/>
        </w:rPr>
        <w:t>XII</w:t>
      </w:r>
      <w:r w:rsidR="0056311E" w:rsidRPr="00FE4A57">
        <w:t xml:space="preserve"> «Прикінцеві та перехідні положення» Закону </w:t>
      </w:r>
      <w:r w:rsidR="008158F3">
        <w:t xml:space="preserve">                     </w:t>
      </w:r>
      <w:r w:rsidR="00270220" w:rsidRPr="00FE4A57">
        <w:t xml:space="preserve">(у редакції проекту) </w:t>
      </w:r>
      <w:r w:rsidRPr="00FE4A57">
        <w:t>в</w:t>
      </w:r>
      <w:r w:rsidR="0056311E" w:rsidRPr="00FE4A57">
        <w:rPr>
          <w:szCs w:val="28"/>
        </w:rPr>
        <w:t>становлено</w:t>
      </w:r>
      <w:r w:rsidR="0056311E" w:rsidRPr="00746CAE">
        <w:rPr>
          <w:szCs w:val="28"/>
        </w:rPr>
        <w:t>, що під час ліквідації Окружного адміністративного суду міста Києва положення ч. 6 ст. 147 цього Закону щодо порядку припинення здійснення правосуддя судом, що ліквідується, та передачі ним судових справ застосовуються з урахуванням особливостей, визначених Законом України «Про ліквідацію Окружного адміністративного суду міста Києва та утворення Київського міського окружного адміністративного суду</w:t>
      </w:r>
      <w:r w:rsidR="002E4AAB" w:rsidRPr="00746CAE">
        <w:rPr>
          <w:szCs w:val="28"/>
        </w:rPr>
        <w:t>»</w:t>
      </w:r>
      <w:r w:rsidR="0056311E" w:rsidRPr="00746CAE">
        <w:rPr>
          <w:szCs w:val="28"/>
        </w:rPr>
        <w:t>.</w:t>
      </w:r>
    </w:p>
    <w:p w:rsidR="002E4AAB" w:rsidRPr="00746CAE" w:rsidRDefault="0056311E" w:rsidP="002A5FC6">
      <w:pPr>
        <w:spacing w:after="0" w:line="240" w:lineRule="auto"/>
        <w:ind w:firstLine="709"/>
        <w:jc w:val="both"/>
        <w:rPr>
          <w:rStyle w:val="rvts0"/>
        </w:rPr>
      </w:pPr>
      <w:r w:rsidRPr="00746CAE">
        <w:t xml:space="preserve">На наш погляд, такий законодавчий крок є доволі сумнівним. </w:t>
      </w:r>
      <w:r w:rsidR="00F13DE1" w:rsidRPr="00746CAE">
        <w:t>Адже</w:t>
      </w:r>
      <w:r w:rsidR="002E4AAB" w:rsidRPr="00746CAE">
        <w:t xml:space="preserve"> </w:t>
      </w:r>
      <w:r w:rsidR="002A5FC6" w:rsidRPr="00746CAE">
        <w:t xml:space="preserve">відповідно до </w:t>
      </w:r>
      <w:r w:rsidR="00270220" w:rsidRPr="00746CAE">
        <w:t xml:space="preserve">чинної </w:t>
      </w:r>
      <w:r w:rsidR="002A5FC6" w:rsidRPr="00746CAE">
        <w:t xml:space="preserve">ч. 6 ст. 147 Закону </w:t>
      </w:r>
      <w:r w:rsidR="003568F8" w:rsidRPr="00746CAE">
        <w:t>«</w:t>
      </w:r>
      <w:r w:rsidR="002A5FC6" w:rsidRPr="00746CAE">
        <w:rPr>
          <w:rStyle w:val="rvts0"/>
        </w:rPr>
        <w:t xml:space="preserve">у разі ліквідації суду, що здійснює правосуддя на території відповідної адміністративно-територіальної одиниці (відповідних адміністративно-територіальних одиниць), та утворення нового суду, який забезпечує здійснення правосуддя на цій території, </w:t>
      </w:r>
      <w:r w:rsidR="002A5FC6" w:rsidRPr="00746CAE">
        <w:rPr>
          <w:rStyle w:val="rvts0"/>
          <w:i/>
          <w:iCs/>
        </w:rPr>
        <w:t>суд, що ліквідується, припиняє здійснення правосуддя з дня опублікування в газеті «Голос України» повідомлення голови новоутвореного суду про початок роботи новоутвореного суду</w:t>
      </w:r>
      <w:r w:rsidR="002A5FC6" w:rsidRPr="00746CAE">
        <w:rPr>
          <w:rStyle w:val="rvts0"/>
        </w:rPr>
        <w:t>.</w:t>
      </w:r>
    </w:p>
    <w:p w:rsidR="003568F8" w:rsidRPr="00746CAE" w:rsidRDefault="003568F8" w:rsidP="002A5FC6">
      <w:pPr>
        <w:spacing w:after="0" w:line="240" w:lineRule="auto"/>
        <w:ind w:firstLine="709"/>
        <w:jc w:val="both"/>
        <w:rPr>
          <w:rStyle w:val="rvts0"/>
        </w:rPr>
      </w:pPr>
      <w:r w:rsidRPr="00746CAE">
        <w:rPr>
          <w:rStyle w:val="rvts0"/>
        </w:rPr>
        <w:t xml:space="preserve">Суд, що ліквідується, в місячний строк з дня припинення здійснення правосуддя передає до новоутвореного суду матеріали та документи, пов’язані </w:t>
      </w:r>
      <w:r w:rsidRPr="00746CAE">
        <w:rPr>
          <w:rStyle w:val="rvts0"/>
        </w:rPr>
        <w:lastRenderedPageBreak/>
        <w:t>зі здійсненням таким судом повноважень, зокрема, архівні справи з основної діяльності, строки тимчасового зберігання яких ще не закінчилися, документи, не завершені в діловодстві, а також документи з кадрових питань в паперовому та електронному вигляді, фонди бібліотек, а судові справи та матеріали проваджень, що перебувають у володінні суду, що ліквідується, передаються негайно, до дня початку роботи новоутвореного суду».</w:t>
      </w:r>
    </w:p>
    <w:p w:rsidR="00F74F9E" w:rsidRPr="00746CAE" w:rsidRDefault="003568F8" w:rsidP="00A81D1E">
      <w:pPr>
        <w:spacing w:after="0" w:line="240" w:lineRule="auto"/>
        <w:ind w:firstLine="709"/>
        <w:jc w:val="both"/>
        <w:rPr>
          <w:szCs w:val="28"/>
        </w:rPr>
      </w:pPr>
      <w:r w:rsidRPr="00746CAE">
        <w:t>У</w:t>
      </w:r>
      <w:r w:rsidR="002E4AAB" w:rsidRPr="00746CAE">
        <w:t xml:space="preserve"> законопроекті ж, на відміну від чинної редакції ч. 6 ст. 147 Закону</w:t>
      </w:r>
      <w:r w:rsidR="00F74F9E" w:rsidRPr="00746CAE">
        <w:t xml:space="preserve"> </w:t>
      </w:r>
      <w:r w:rsidRPr="00746CAE">
        <w:br/>
      </w:r>
      <w:r w:rsidR="00F74F9E" w:rsidRPr="00746CAE">
        <w:t>по</w:t>
      </w:r>
      <w:r w:rsidR="00330110" w:rsidRPr="00746CAE">
        <w:rPr>
          <w:lang w:val="ru-RU"/>
        </w:rPr>
        <w:t xml:space="preserve"> </w:t>
      </w:r>
      <w:r w:rsidR="00F74F9E" w:rsidRPr="00746CAE">
        <w:t>суті</w:t>
      </w:r>
      <w:r w:rsidR="002E4AAB" w:rsidRPr="00746CAE">
        <w:t xml:space="preserve"> пропонується </w:t>
      </w:r>
      <w:r w:rsidR="00F74F9E" w:rsidRPr="00746CAE">
        <w:t xml:space="preserve">для одного з судів в системі правосуддя України визначити порядок ліквідації, який буде відмінним від загального. Відмінність полягає </w:t>
      </w:r>
      <w:r w:rsidR="00F74F9E" w:rsidRPr="00FE4A57">
        <w:t xml:space="preserve">в тому, що </w:t>
      </w:r>
      <w:r w:rsidR="00A81D1E" w:rsidRPr="00FE4A57">
        <w:t xml:space="preserve">з дня, наступного за днем опублікування Закону України «Про ліквідацію Окружного адміністративного суду міста Києва </w:t>
      </w:r>
      <w:r w:rsidR="001829E0">
        <w:t xml:space="preserve">                                </w:t>
      </w:r>
      <w:r w:rsidR="00A81D1E" w:rsidRPr="00FE4A57">
        <w:t xml:space="preserve">та утворення Київського міського окружного адміністративного суду» </w:t>
      </w:r>
      <w:r w:rsidR="001829E0">
        <w:t xml:space="preserve">                         </w:t>
      </w:r>
      <w:r w:rsidR="00A81D1E" w:rsidRPr="00FE4A57">
        <w:t>(див. п. п. 1, 2 розд</w:t>
      </w:r>
      <w:r w:rsidR="00746CAE" w:rsidRPr="00FE4A57">
        <w:t>ілу</w:t>
      </w:r>
      <w:r w:rsidR="00A81D1E" w:rsidRPr="00FE4A57">
        <w:t xml:space="preserve"> ІІ </w:t>
      </w:r>
      <w:r w:rsidRPr="00FE4A57">
        <w:t>проекту № 5369)</w:t>
      </w:r>
      <w:r w:rsidR="00330110" w:rsidRPr="00FE4A57">
        <w:t>,</w:t>
      </w:r>
      <w:r w:rsidRPr="00FE4A57">
        <w:t xml:space="preserve"> О</w:t>
      </w:r>
      <w:r w:rsidR="00706CA3" w:rsidRPr="00FE4A57">
        <w:t xml:space="preserve">кружний адміністративний суд міста Києва зобов’язується </w:t>
      </w:r>
      <w:r w:rsidR="00706CA3" w:rsidRPr="00FE4A57">
        <w:rPr>
          <w:i/>
          <w:iCs/>
        </w:rPr>
        <w:t>невідкладно</w:t>
      </w:r>
      <w:r w:rsidR="00706CA3" w:rsidRPr="00FE4A57">
        <w:t xml:space="preserve">, </w:t>
      </w:r>
      <w:r w:rsidR="00706CA3" w:rsidRPr="00FE4A57">
        <w:rPr>
          <w:i/>
          <w:iCs/>
        </w:rPr>
        <w:t>протягом десяти робочих днів</w:t>
      </w:r>
      <w:r w:rsidR="00706CA3" w:rsidRPr="00FE4A57">
        <w:t>, передати судові справи, які перебувають у його володінні, до Київського окружного адміністративного суду.</w:t>
      </w:r>
      <w:r w:rsidR="00C95BBB" w:rsidRPr="00FE4A57">
        <w:t xml:space="preserve"> При цьому</w:t>
      </w:r>
      <w:r w:rsidR="00746CAE" w:rsidRPr="00FE4A57">
        <w:t>,</w:t>
      </w:r>
      <w:r w:rsidR="00C95BBB" w:rsidRPr="00FE4A57">
        <w:t xml:space="preserve"> суд, до якого негайно передаватимуться справи, </w:t>
      </w:r>
      <w:r w:rsidR="008A4F2A" w:rsidRPr="00FE4A57">
        <w:t xml:space="preserve">є органом, якому </w:t>
      </w:r>
      <w:r w:rsidR="008A4F2A" w:rsidRPr="00FE4A57">
        <w:rPr>
          <w:i/>
          <w:iCs/>
        </w:rPr>
        <w:t>тимчасово</w:t>
      </w:r>
      <w:r w:rsidR="008A4F2A" w:rsidRPr="00FE4A57">
        <w:t xml:space="preserve"> передаються функції Окружного адміністративного суду міста Києва, що ліквіду</w:t>
      </w:r>
      <w:r w:rsidR="00B65061" w:rsidRPr="00FE4A57">
        <w:t>є</w:t>
      </w:r>
      <w:r w:rsidR="008A4F2A" w:rsidRPr="00FE4A57">
        <w:t>ться. Адже в подальшому функції Окружного адміністративного</w:t>
      </w:r>
      <w:r w:rsidR="008A4F2A" w:rsidRPr="00746CAE">
        <w:t xml:space="preserve"> суду міста Києва, що ліквіду</w:t>
      </w:r>
      <w:r w:rsidR="009C0547" w:rsidRPr="00746CAE">
        <w:t>є</w:t>
      </w:r>
      <w:r w:rsidR="008A4F2A" w:rsidRPr="00746CAE">
        <w:t xml:space="preserve">ться, повинні бути передані новоствореному </w:t>
      </w:r>
      <w:r w:rsidR="00825E6D" w:rsidRPr="00746CAE">
        <w:rPr>
          <w:szCs w:val="28"/>
        </w:rPr>
        <w:t>Київсько</w:t>
      </w:r>
      <w:r w:rsidR="00163CD0" w:rsidRPr="00746CAE">
        <w:rPr>
          <w:szCs w:val="28"/>
        </w:rPr>
        <w:t>му</w:t>
      </w:r>
      <w:r w:rsidR="00825E6D" w:rsidRPr="00746CAE">
        <w:rPr>
          <w:szCs w:val="28"/>
        </w:rPr>
        <w:t xml:space="preserve"> місько</w:t>
      </w:r>
      <w:r w:rsidR="00163CD0" w:rsidRPr="00746CAE">
        <w:rPr>
          <w:szCs w:val="28"/>
        </w:rPr>
        <w:t>му</w:t>
      </w:r>
      <w:r w:rsidR="00825E6D" w:rsidRPr="00746CAE">
        <w:rPr>
          <w:szCs w:val="28"/>
        </w:rPr>
        <w:t xml:space="preserve"> окружно</w:t>
      </w:r>
      <w:r w:rsidR="00163CD0" w:rsidRPr="00746CAE">
        <w:rPr>
          <w:szCs w:val="28"/>
        </w:rPr>
        <w:t>му</w:t>
      </w:r>
      <w:r w:rsidR="00825E6D" w:rsidRPr="00746CAE">
        <w:rPr>
          <w:szCs w:val="28"/>
        </w:rPr>
        <w:t xml:space="preserve"> адміністративно</w:t>
      </w:r>
      <w:r w:rsidR="00163CD0" w:rsidRPr="00746CAE">
        <w:rPr>
          <w:szCs w:val="28"/>
        </w:rPr>
        <w:t>му</w:t>
      </w:r>
      <w:r w:rsidR="00825E6D" w:rsidRPr="00746CAE">
        <w:rPr>
          <w:szCs w:val="28"/>
        </w:rPr>
        <w:t xml:space="preserve"> суду з дня початку його роботи.</w:t>
      </w:r>
    </w:p>
    <w:p w:rsidR="003568F8" w:rsidRPr="00FE4A57" w:rsidRDefault="005E1DE0" w:rsidP="00270220">
      <w:pPr>
        <w:spacing w:after="0" w:line="240" w:lineRule="auto"/>
        <w:ind w:firstLine="709"/>
        <w:jc w:val="both"/>
      </w:pPr>
      <w:r w:rsidRPr="00746CAE">
        <w:rPr>
          <w:szCs w:val="28"/>
        </w:rPr>
        <w:t xml:space="preserve">Звертаємо </w:t>
      </w:r>
      <w:r w:rsidR="00194AEB" w:rsidRPr="00746CAE">
        <w:rPr>
          <w:szCs w:val="28"/>
        </w:rPr>
        <w:t xml:space="preserve">увагу на </w:t>
      </w:r>
      <w:r w:rsidRPr="00746CAE">
        <w:rPr>
          <w:szCs w:val="28"/>
        </w:rPr>
        <w:t>можливі негативні наслідки такого законодавчого кроку</w:t>
      </w:r>
      <w:r w:rsidR="000106D7" w:rsidRPr="00746CAE">
        <w:rPr>
          <w:szCs w:val="28"/>
        </w:rPr>
        <w:t>.</w:t>
      </w:r>
      <w:r w:rsidR="00270220" w:rsidRPr="00746CAE">
        <w:rPr>
          <w:szCs w:val="28"/>
        </w:rPr>
        <w:t xml:space="preserve"> </w:t>
      </w:r>
      <w:r w:rsidR="00330110" w:rsidRPr="00746CAE">
        <w:rPr>
          <w:szCs w:val="28"/>
          <w:lang w:val="ru-RU"/>
        </w:rPr>
        <w:t>З</w:t>
      </w:r>
      <w:r w:rsidR="003568F8" w:rsidRPr="00746CAE">
        <w:rPr>
          <w:bCs/>
        </w:rPr>
        <w:t xml:space="preserve">гідно з наданими Державною судовою адміністрацією України </w:t>
      </w:r>
      <w:r w:rsidR="00270220" w:rsidRPr="00746CAE">
        <w:rPr>
          <w:bCs/>
        </w:rPr>
        <w:t>до Вищої ради правосуддя</w:t>
      </w:r>
      <w:r w:rsidR="003568F8" w:rsidRPr="00746CAE">
        <w:rPr>
          <w:bCs/>
        </w:rPr>
        <w:t xml:space="preserve"> статистичними показниками середньорічного навантаження окремих судів, у провадженні Київського окружного адміністративного суду у 2020 році перебувало 19 665 справ і матеріалів; у провадженні Окружного адміністративного суду міста Києва упродовж цього періоду перебувало 61 350 справ і матеріалів</w:t>
      </w:r>
      <w:r w:rsidR="003568F8" w:rsidRPr="00746CAE">
        <w:rPr>
          <w:rStyle w:val="af3"/>
          <w:bCs/>
        </w:rPr>
        <w:footnoteReference w:id="1"/>
      </w:r>
      <w:r w:rsidR="003568F8" w:rsidRPr="00746CAE">
        <w:rPr>
          <w:bCs/>
        </w:rPr>
        <w:t xml:space="preserve">. </w:t>
      </w:r>
      <w:r w:rsidR="003568F8" w:rsidRPr="00746CAE">
        <w:t xml:space="preserve">З 12.03.2020 по 12.03.2021 канцелярією </w:t>
      </w:r>
      <w:r w:rsidR="003568F8" w:rsidRPr="00746CAE">
        <w:rPr>
          <w:bCs/>
        </w:rPr>
        <w:t xml:space="preserve">Окружного адміністративного суду міста Києва </w:t>
      </w:r>
      <w:r w:rsidR="003568F8" w:rsidRPr="00746CAE">
        <w:t>зареєстровано понад 35 тис. позовів та 183 тис. вхідної кореспонденції (клопотання, заяви, звернення та інші процесуальні документи)</w:t>
      </w:r>
      <w:r w:rsidR="003568F8" w:rsidRPr="00746CAE">
        <w:rPr>
          <w:rStyle w:val="af3"/>
        </w:rPr>
        <w:footnoteReference w:id="2"/>
      </w:r>
      <w:r w:rsidR="003568F8" w:rsidRPr="00746CAE">
        <w:t>. За даними, наведеними на сайті Судової влади України</w:t>
      </w:r>
      <w:r w:rsidR="00330110" w:rsidRPr="00746CAE">
        <w:rPr>
          <w:lang w:val="ru-RU"/>
        </w:rPr>
        <w:t>,</w:t>
      </w:r>
      <w:r w:rsidR="003568F8" w:rsidRPr="00746CAE">
        <w:t xml:space="preserve"> в Окружному адміністративному суді міста Києва </w:t>
      </w:r>
      <w:r w:rsidR="003568F8" w:rsidRPr="00FE4A57">
        <w:t>станом на 14.04.2021 працює 49 суддів</w:t>
      </w:r>
      <w:r w:rsidR="003568F8" w:rsidRPr="00FE4A57">
        <w:rPr>
          <w:rStyle w:val="af3"/>
        </w:rPr>
        <w:footnoteReference w:id="3"/>
      </w:r>
      <w:r w:rsidR="003568F8" w:rsidRPr="00FE4A57">
        <w:t>, в Київському окружному адміністративному суді – 22 судді</w:t>
      </w:r>
      <w:r w:rsidR="003568F8" w:rsidRPr="00FE4A57">
        <w:rPr>
          <w:rStyle w:val="af3"/>
        </w:rPr>
        <w:footnoteReference w:id="4"/>
      </w:r>
      <w:r w:rsidR="003568F8" w:rsidRPr="00FE4A57">
        <w:t>.</w:t>
      </w:r>
    </w:p>
    <w:p w:rsidR="003568F8" w:rsidRPr="00FE4A57" w:rsidRDefault="00330110" w:rsidP="003568F8">
      <w:pPr>
        <w:spacing w:after="0" w:line="240" w:lineRule="auto"/>
        <w:ind w:firstLine="709"/>
        <w:jc w:val="both"/>
      </w:pPr>
      <w:r w:rsidRPr="00FE4A57">
        <w:t>Н</w:t>
      </w:r>
      <w:r w:rsidR="003568F8" w:rsidRPr="00FE4A57">
        <w:t>аведен</w:t>
      </w:r>
      <w:r w:rsidRPr="00FE4A57">
        <w:t>і</w:t>
      </w:r>
      <w:r w:rsidR="003568F8" w:rsidRPr="00FE4A57">
        <w:t xml:space="preserve"> вище дан</w:t>
      </w:r>
      <w:r w:rsidRPr="00FE4A57">
        <w:t>і</w:t>
      </w:r>
      <w:r w:rsidR="003568F8" w:rsidRPr="00FE4A57">
        <w:t xml:space="preserve"> свідч</w:t>
      </w:r>
      <w:r w:rsidRPr="00FE4A57">
        <w:t>а</w:t>
      </w:r>
      <w:r w:rsidR="003568F8" w:rsidRPr="00FE4A57">
        <w:t xml:space="preserve">ть, що при передачі Київському окружному адміністративному суду справ, наразі підсудних Окружному адміністративному суду міста Києва, навантаження на кожного суддю збільшиться в декілька </w:t>
      </w:r>
      <w:r w:rsidR="003568F8" w:rsidRPr="00FE4A57">
        <w:lastRenderedPageBreak/>
        <w:t>разів. Тобто</w:t>
      </w:r>
      <w:r w:rsidR="00746CAE" w:rsidRPr="00FE4A57">
        <w:t>,</w:t>
      </w:r>
      <w:r w:rsidR="003568F8" w:rsidRPr="00FE4A57">
        <w:t xml:space="preserve"> кількість справ стане такою, яку судді фізично не в</w:t>
      </w:r>
      <w:r w:rsidRPr="00FE4A57">
        <w:rPr>
          <w:lang w:val="ru-RU"/>
        </w:rPr>
        <w:t xml:space="preserve"> </w:t>
      </w:r>
      <w:r w:rsidR="003568F8" w:rsidRPr="00FE4A57">
        <w:t xml:space="preserve">змозі будуть розглянути </w:t>
      </w:r>
      <w:r w:rsidRPr="00FE4A57">
        <w:t>у</w:t>
      </w:r>
      <w:r w:rsidRPr="00FE4A57">
        <w:rPr>
          <w:lang w:val="ru-RU"/>
        </w:rPr>
        <w:t xml:space="preserve"> розумні строки</w:t>
      </w:r>
      <w:r w:rsidR="003568F8" w:rsidRPr="00FE4A57">
        <w:t>.</w:t>
      </w:r>
      <w:r w:rsidRPr="00FE4A57">
        <w:t xml:space="preserve"> Таким чином, виникає загроза повного зупинення здійснення адміністративного судочинства у м. Києві на тривалий строк аж до фактичного утворення Київського міського окружного адміністративного суду і початку його роботи.</w:t>
      </w:r>
    </w:p>
    <w:p w:rsidR="003568F8" w:rsidRPr="00746CAE" w:rsidRDefault="003568F8" w:rsidP="003568F8">
      <w:pPr>
        <w:spacing w:after="0" w:line="240" w:lineRule="auto"/>
        <w:ind w:firstLine="709"/>
        <w:jc w:val="both"/>
        <w:rPr>
          <w:rStyle w:val="rvts0"/>
        </w:rPr>
      </w:pPr>
      <w:r w:rsidRPr="00FE4A57">
        <w:t xml:space="preserve">Крім того, звертаємо увагу на те, що справи, передані до </w:t>
      </w:r>
      <w:r w:rsidRPr="00FE4A57">
        <w:rPr>
          <w:bCs/>
        </w:rPr>
        <w:t xml:space="preserve">Київського окружного адміністративного суду, а в подальшому до </w:t>
      </w:r>
      <w:r w:rsidRPr="00FE4A57">
        <w:t xml:space="preserve">Київського міського окружного адміністративного суду, </w:t>
      </w:r>
      <w:r w:rsidRPr="00FE4A57">
        <w:rPr>
          <w:i/>
        </w:rPr>
        <w:t>підлягатимуть розгляду спочатку, або ж повторному розгляду зі стадії підготовчого провадження</w:t>
      </w:r>
      <w:r w:rsidRPr="00FE4A57">
        <w:t xml:space="preserve"> на підставі</w:t>
      </w:r>
      <w:r w:rsidR="0094062C">
        <w:t xml:space="preserve">                          </w:t>
      </w:r>
      <w:r w:rsidRPr="00FE4A57">
        <w:t xml:space="preserve"> ч. 14 ст. 31 Кодексу адміністративного судочинства України (далі – КАСУ) у зв’язку зі зміною складу суду. Це навряд чи зробить можливим дотримання строків розгляду адміністративних справ, визначених </w:t>
      </w:r>
      <w:r w:rsidR="00746CAE" w:rsidRPr="00FE4A57">
        <w:t>у</w:t>
      </w:r>
      <w:r w:rsidRPr="00FE4A57">
        <w:t xml:space="preserve"> ст. 193 КАСУ, відповідно до якої с</w:t>
      </w:r>
      <w:r w:rsidRPr="00FE4A57">
        <w:rPr>
          <w:rStyle w:val="rvts0"/>
        </w:rPr>
        <w:t>уд має розпочати розгляд справи по суті не пізніше ніж через шістдесят днів з дня відкриття провадження у справі, а у випадку продовження</w:t>
      </w:r>
      <w:r w:rsidRPr="00746CAE">
        <w:rPr>
          <w:rStyle w:val="rvts0"/>
        </w:rPr>
        <w:t xml:space="preserve"> строку підготовчого провадження – не пізніше наступного дня з дня закінчення такого строку. У свою чергу, ч. 2 ст. 193 КАСУ зобов’язує суд розглянути справу по суті протягом тридцяти днів з дня початку розгляду справи по суті.</w:t>
      </w:r>
    </w:p>
    <w:p w:rsidR="003568F8" w:rsidRPr="00746CAE" w:rsidRDefault="003568F8" w:rsidP="003568F8">
      <w:pPr>
        <w:spacing w:after="0" w:line="240" w:lineRule="auto"/>
        <w:ind w:firstLine="709"/>
        <w:jc w:val="both"/>
        <w:rPr>
          <w:rStyle w:val="rvts0"/>
        </w:rPr>
      </w:pPr>
      <w:r w:rsidRPr="00746CAE">
        <w:rPr>
          <w:rStyle w:val="rvts0"/>
        </w:rPr>
        <w:t>Подібна ситуація зумовить обмеження у праві на доступ до правосуддя та не виключає збільшення кількості звернень до Європейського суду з прав людини зі скаргами на тривалість адміністративного провадження та на відсутність у національному законодавстві в Україні ефективного засобу юридичного захисту.</w:t>
      </w:r>
    </w:p>
    <w:p w:rsidR="003A7260" w:rsidRPr="00746CAE" w:rsidRDefault="003A7260" w:rsidP="005B76BB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</w:p>
    <w:p w:rsidR="003A7260" w:rsidRPr="00746CAE" w:rsidRDefault="003A7260" w:rsidP="005B76BB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</w:p>
    <w:p w:rsidR="003E43BF" w:rsidRPr="00746CAE" w:rsidRDefault="003E43BF" w:rsidP="005B76BB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  <w:r w:rsidRPr="00746CAE">
        <w:rPr>
          <w:rFonts w:ascii="Times New Roman" w:eastAsia="Calibri" w:hAnsi="Times New Roman" w:cs="Times New Roman"/>
          <w:bCs/>
          <w:lang w:eastAsia="en-US"/>
        </w:rPr>
        <w:t xml:space="preserve">Керівник Головного управління                                  </w:t>
      </w:r>
      <w:r w:rsidRPr="00746CAE">
        <w:rPr>
          <w:rFonts w:ascii="Times New Roman" w:eastAsia="Calibri" w:hAnsi="Times New Roman" w:cs="Times New Roman"/>
          <w:bCs/>
          <w:lang w:val="ru-RU" w:eastAsia="en-US"/>
        </w:rPr>
        <w:t xml:space="preserve">    </w:t>
      </w:r>
      <w:r w:rsidRPr="00746CAE">
        <w:rPr>
          <w:rFonts w:ascii="Times New Roman" w:eastAsia="Calibri" w:hAnsi="Times New Roman" w:cs="Times New Roman"/>
          <w:bCs/>
          <w:lang w:eastAsia="en-US"/>
        </w:rPr>
        <w:t xml:space="preserve">         </w:t>
      </w:r>
      <w:r w:rsidR="00012FE7" w:rsidRPr="00746CAE">
        <w:rPr>
          <w:rFonts w:ascii="Times New Roman" w:eastAsia="Calibri" w:hAnsi="Times New Roman" w:cs="Times New Roman"/>
          <w:bCs/>
          <w:lang w:eastAsia="en-US"/>
        </w:rPr>
        <w:t xml:space="preserve">    </w:t>
      </w:r>
      <w:r w:rsidRPr="00746CAE">
        <w:rPr>
          <w:rFonts w:ascii="Times New Roman" w:eastAsia="Calibri" w:hAnsi="Times New Roman" w:cs="Times New Roman"/>
          <w:bCs/>
          <w:lang w:eastAsia="en-US"/>
        </w:rPr>
        <w:t xml:space="preserve">С. Тихонюк     </w:t>
      </w:r>
    </w:p>
    <w:p w:rsidR="003E43BF" w:rsidRPr="00746CAE" w:rsidRDefault="003E43BF" w:rsidP="005B76BB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</w:p>
    <w:p w:rsidR="00D333DB" w:rsidRPr="00746CAE" w:rsidRDefault="00D333DB" w:rsidP="005B76BB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</w:p>
    <w:p w:rsidR="00614E83" w:rsidRPr="00746CAE" w:rsidRDefault="00614E83" w:rsidP="005B76BB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 w:rsidRPr="00746CAE">
        <w:rPr>
          <w:sz w:val="20"/>
          <w:szCs w:val="20"/>
        </w:rPr>
        <w:t>Вик.: В. Попович,</w:t>
      </w:r>
      <w:r w:rsidR="00D51ADD" w:rsidRPr="00746CAE">
        <w:rPr>
          <w:sz w:val="20"/>
          <w:szCs w:val="20"/>
        </w:rPr>
        <w:t xml:space="preserve"> </w:t>
      </w:r>
      <w:r w:rsidR="006544D4" w:rsidRPr="00746CAE">
        <w:rPr>
          <w:sz w:val="20"/>
          <w:szCs w:val="20"/>
        </w:rPr>
        <w:t>І</w:t>
      </w:r>
      <w:r w:rsidRPr="00746CAE">
        <w:rPr>
          <w:sz w:val="20"/>
          <w:szCs w:val="20"/>
        </w:rPr>
        <w:t>. К</w:t>
      </w:r>
      <w:bookmarkStart w:id="0" w:name="_GoBack"/>
      <w:bookmarkEnd w:id="0"/>
      <w:r w:rsidR="006544D4" w:rsidRPr="00746CAE">
        <w:rPr>
          <w:sz w:val="20"/>
          <w:szCs w:val="20"/>
        </w:rPr>
        <w:t>унець</w:t>
      </w:r>
    </w:p>
    <w:p w:rsidR="003E43BF" w:rsidRPr="00746CAE" w:rsidRDefault="003E43BF" w:rsidP="005B76BB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3A2A4C" w:rsidRPr="00746CAE" w:rsidRDefault="003A2A4C" w:rsidP="005B76BB">
      <w:pPr>
        <w:spacing w:after="0" w:line="240" w:lineRule="auto"/>
        <w:ind w:firstLine="709"/>
      </w:pPr>
    </w:p>
    <w:sectPr w:rsidR="003A2A4C" w:rsidRPr="00746CAE" w:rsidSect="005B76BB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A8" w:rsidRDefault="00AF5EA8" w:rsidP="003E43BF">
      <w:pPr>
        <w:spacing w:after="0" w:line="240" w:lineRule="auto"/>
      </w:pPr>
      <w:r>
        <w:separator/>
      </w:r>
    </w:p>
  </w:endnote>
  <w:endnote w:type="continuationSeparator" w:id="0">
    <w:p w:rsidR="00AF5EA8" w:rsidRDefault="00AF5EA8" w:rsidP="003E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S UI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93" w:rsidRDefault="00C874D3" w:rsidP="004B25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B2593" w:rsidRDefault="00AF5EA8" w:rsidP="004B259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A8" w:rsidRDefault="00AF5EA8" w:rsidP="003E43BF">
      <w:pPr>
        <w:spacing w:after="0" w:line="240" w:lineRule="auto"/>
      </w:pPr>
      <w:r>
        <w:separator/>
      </w:r>
    </w:p>
  </w:footnote>
  <w:footnote w:type="continuationSeparator" w:id="0">
    <w:p w:rsidR="00AF5EA8" w:rsidRDefault="00AF5EA8" w:rsidP="003E43BF">
      <w:pPr>
        <w:spacing w:after="0" w:line="240" w:lineRule="auto"/>
      </w:pPr>
      <w:r>
        <w:continuationSeparator/>
      </w:r>
    </w:p>
  </w:footnote>
  <w:footnote w:id="1">
    <w:p w:rsidR="003568F8" w:rsidRDefault="003568F8" w:rsidP="0033011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270220">
        <w:t>Рішення Вищої ради правосуддя «</w:t>
      </w:r>
      <w:r w:rsidR="00270220" w:rsidRPr="00D07595">
        <w:t>Про надання консультативного висновку щодо проєкту Закону України «Про ліквідацію та утворення окружних адміністративних судів, юрисдикція яких поширюється на територію Київської області та міста Києва»</w:t>
      </w:r>
      <w:r w:rsidR="00270220">
        <w:t xml:space="preserve"> 04.03.2021 № 581/0/15-21 /Офіційний сайт Вищої ради правосуддя / </w:t>
      </w:r>
      <w:r w:rsidR="00270220">
        <w:rPr>
          <w:lang w:val="en-US"/>
        </w:rPr>
        <w:t>URL</w:t>
      </w:r>
      <w:r w:rsidR="00270220" w:rsidRPr="00270220">
        <w:t xml:space="preserve"> </w:t>
      </w:r>
      <w:r w:rsidR="00270220">
        <w:t xml:space="preserve">: </w:t>
      </w:r>
      <w:r w:rsidR="00270220" w:rsidRPr="00EE2413">
        <w:t>https://hcj.gov.ua/doc/doc/6295</w:t>
      </w:r>
    </w:p>
  </w:footnote>
  <w:footnote w:id="2">
    <w:p w:rsidR="003568F8" w:rsidRDefault="003568F8" w:rsidP="00330110">
      <w:pPr>
        <w:pStyle w:val="af1"/>
        <w:jc w:val="both"/>
      </w:pPr>
      <w:r>
        <w:rPr>
          <w:rStyle w:val="af3"/>
        </w:rPr>
        <w:footnoteRef/>
      </w:r>
      <w:r w:rsidRPr="001451EA">
        <w:t>Рік карантинних обмежень: кількість позовів в ОАСК збільшилась на 20%</w:t>
      </w:r>
      <w:r>
        <w:t xml:space="preserve"> / </w:t>
      </w:r>
      <w:r>
        <w:rPr>
          <w:lang w:val="en-US"/>
        </w:rPr>
        <w:t>URL</w:t>
      </w:r>
      <w:r w:rsidRPr="00A22359">
        <w:rPr>
          <w:lang w:val="ru-RU"/>
        </w:rPr>
        <w:t xml:space="preserve"> </w:t>
      </w:r>
      <w:r>
        <w:rPr>
          <w:lang w:val="ru-RU"/>
        </w:rPr>
        <w:t xml:space="preserve">: </w:t>
      </w:r>
      <w:r w:rsidRPr="00A25ACD">
        <w:t>https://adm.ki.court.gov.ua/sud2670/pres-centr/news/1094857/</w:t>
      </w:r>
    </w:p>
  </w:footnote>
  <w:footnote w:id="3">
    <w:p w:rsidR="003568F8" w:rsidRDefault="003568F8" w:rsidP="0033011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D0BC9">
        <w:t>Суддівський корпус Окружного адміністративного суду міста Києва розташований в приміщен</w:t>
      </w:r>
      <w:r>
        <w:t xml:space="preserve">нях суду за наступними адресами / </w:t>
      </w:r>
      <w:r>
        <w:rPr>
          <w:lang w:val="en-US"/>
        </w:rPr>
        <w:t>URL</w:t>
      </w:r>
      <w:r>
        <w:t xml:space="preserve"> : </w:t>
      </w:r>
      <w:r w:rsidRPr="00DD0BC9">
        <w:t>https://adm.ki.court.gov.ua/sud2670/pro_sud/judge/</w:t>
      </w:r>
    </w:p>
  </w:footnote>
  <w:footnote w:id="4">
    <w:p w:rsidR="003568F8" w:rsidRDefault="003568F8" w:rsidP="0033011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D0BC9">
        <w:t xml:space="preserve">Cудді Київського окружного адміністративного суду </w:t>
      </w:r>
      <w:r>
        <w:t xml:space="preserve">/ </w:t>
      </w:r>
      <w:r>
        <w:rPr>
          <w:lang w:val="en-US"/>
        </w:rPr>
        <w:t>URL</w:t>
      </w:r>
      <w:r>
        <w:t xml:space="preserve"> : </w:t>
      </w:r>
      <w:r w:rsidRPr="00DD0BC9">
        <w:t>https://adm.ko.court.gov.ua/sud1070/pro_sud/suddi/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93" w:rsidRDefault="00C874D3" w:rsidP="005B76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062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93" w:rsidRPr="008665D8" w:rsidRDefault="00C874D3" w:rsidP="0034099D">
    <w:pPr>
      <w:pStyle w:val="a5"/>
      <w:jc w:val="right"/>
      <w:rPr>
        <w:sz w:val="20"/>
        <w:szCs w:val="20"/>
        <w:lang w:val="ru-RU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№ </w:t>
    </w:r>
    <w:r w:rsidR="008665D8">
      <w:rPr>
        <w:sz w:val="20"/>
        <w:szCs w:val="20"/>
        <w:lang w:val="ru-RU"/>
      </w:rPr>
      <w:t>5370</w:t>
    </w:r>
    <w:r w:rsidRPr="009B655C">
      <w:rPr>
        <w:sz w:val="20"/>
        <w:szCs w:val="20"/>
        <w:lang w:val="ru-RU"/>
      </w:rPr>
      <w:t xml:space="preserve"> </w:t>
    </w:r>
    <w:r w:rsidRPr="009B655C">
      <w:rPr>
        <w:sz w:val="20"/>
        <w:szCs w:val="20"/>
      </w:rPr>
      <w:t xml:space="preserve">від </w:t>
    </w:r>
    <w:r w:rsidR="003E43BF" w:rsidRPr="003E43BF">
      <w:rPr>
        <w:sz w:val="20"/>
        <w:szCs w:val="20"/>
      </w:rPr>
      <w:t>1</w:t>
    </w:r>
    <w:r w:rsidR="008665D8">
      <w:rPr>
        <w:sz w:val="20"/>
        <w:szCs w:val="20"/>
        <w:lang w:val="ru-RU"/>
      </w:rPr>
      <w:t>3</w:t>
    </w:r>
    <w:r w:rsidR="003E43BF" w:rsidRPr="003E43BF">
      <w:rPr>
        <w:sz w:val="20"/>
        <w:szCs w:val="20"/>
      </w:rPr>
      <w:t>.</w:t>
    </w:r>
    <w:r w:rsidR="008665D8">
      <w:rPr>
        <w:sz w:val="20"/>
        <w:szCs w:val="20"/>
        <w:lang w:val="ru-RU"/>
      </w:rPr>
      <w:t>04</w:t>
    </w:r>
    <w:r w:rsidR="003E43BF" w:rsidRPr="003E43BF">
      <w:rPr>
        <w:sz w:val="20"/>
        <w:szCs w:val="20"/>
      </w:rPr>
      <w:t>.202</w:t>
    </w:r>
    <w:r w:rsidR="008665D8">
      <w:rPr>
        <w:sz w:val="20"/>
        <w:szCs w:val="20"/>
        <w:lang w:val="ru-RU"/>
      </w:rPr>
      <w:t>1</w:t>
    </w:r>
  </w:p>
  <w:p w:rsidR="004B2593" w:rsidRPr="008B2099" w:rsidRDefault="008665D8" w:rsidP="003E43BF">
    <w:pPr>
      <w:pStyle w:val="a5"/>
      <w:jc w:val="right"/>
      <w:rPr>
        <w:sz w:val="20"/>
        <w:szCs w:val="20"/>
      </w:rPr>
    </w:pPr>
    <w:r>
      <w:rPr>
        <w:sz w:val="20"/>
        <w:szCs w:val="20"/>
        <w:lang w:val="ru-RU"/>
      </w:rPr>
      <w:t xml:space="preserve">Президент </w:t>
    </w:r>
    <w:r w:rsidR="00C874D3">
      <w:rPr>
        <w:sz w:val="20"/>
        <w:szCs w:val="20"/>
      </w:rPr>
      <w:t xml:space="preserve">України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A"/>
    <w:multiLevelType w:val="hybridMultilevel"/>
    <w:tmpl w:val="7102E34A"/>
    <w:numStyleLink w:val="8"/>
  </w:abstractNum>
  <w:abstractNum w:abstractNumId="1" w15:restartNumberingAfterBreak="0">
    <w:nsid w:val="7AF314E1"/>
    <w:multiLevelType w:val="hybridMultilevel"/>
    <w:tmpl w:val="7102E34A"/>
    <w:styleLink w:val="8"/>
    <w:lvl w:ilvl="0" w:tplc="4414136E">
      <w:start w:val="1"/>
      <w:numFmt w:val="decimal"/>
      <w:suff w:val="nothing"/>
      <w:lvlText w:val="%1)"/>
      <w:lvlJc w:val="left"/>
      <w:pPr>
        <w:tabs>
          <w:tab w:val="left" w:pos="142"/>
          <w:tab w:val="left" w:pos="567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98985E">
      <w:start w:val="1"/>
      <w:numFmt w:val="lowerLetter"/>
      <w:lvlText w:val="%2."/>
      <w:lvlJc w:val="left"/>
      <w:pPr>
        <w:tabs>
          <w:tab w:val="left" w:pos="142"/>
          <w:tab w:val="left" w:pos="567"/>
        </w:tabs>
        <w:ind w:left="84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4CF72E">
      <w:start w:val="1"/>
      <w:numFmt w:val="lowerRoman"/>
      <w:lvlText w:val="%3."/>
      <w:lvlJc w:val="left"/>
      <w:pPr>
        <w:tabs>
          <w:tab w:val="left" w:pos="142"/>
          <w:tab w:val="left" w:pos="567"/>
        </w:tabs>
        <w:ind w:left="144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28BFC0">
      <w:start w:val="1"/>
      <w:numFmt w:val="decimal"/>
      <w:lvlText w:val="%4."/>
      <w:lvlJc w:val="left"/>
      <w:pPr>
        <w:tabs>
          <w:tab w:val="left" w:pos="142"/>
          <w:tab w:val="left" w:pos="567"/>
        </w:tabs>
        <w:ind w:left="216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5065D2">
      <w:start w:val="1"/>
      <w:numFmt w:val="lowerLetter"/>
      <w:lvlText w:val="%5."/>
      <w:lvlJc w:val="left"/>
      <w:pPr>
        <w:tabs>
          <w:tab w:val="left" w:pos="142"/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746DE8">
      <w:start w:val="1"/>
      <w:numFmt w:val="lowerRoman"/>
      <w:lvlText w:val="%6."/>
      <w:lvlJc w:val="left"/>
      <w:pPr>
        <w:tabs>
          <w:tab w:val="left" w:pos="142"/>
          <w:tab w:val="left" w:pos="567"/>
          <w:tab w:val="num" w:pos="4167"/>
        </w:tabs>
        <w:ind w:left="360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08AC4">
      <w:start w:val="1"/>
      <w:numFmt w:val="decimal"/>
      <w:lvlText w:val="%7."/>
      <w:lvlJc w:val="left"/>
      <w:pPr>
        <w:tabs>
          <w:tab w:val="left" w:pos="142"/>
          <w:tab w:val="left" w:pos="567"/>
          <w:tab w:val="num" w:pos="488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8FB14">
      <w:start w:val="1"/>
      <w:numFmt w:val="lowerLetter"/>
      <w:lvlText w:val="%8."/>
      <w:lvlJc w:val="left"/>
      <w:pPr>
        <w:tabs>
          <w:tab w:val="left" w:pos="142"/>
          <w:tab w:val="left" w:pos="567"/>
          <w:tab w:val="num" w:pos="560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5C977E">
      <w:start w:val="1"/>
      <w:numFmt w:val="lowerRoman"/>
      <w:lvlText w:val="%9."/>
      <w:lvlJc w:val="left"/>
      <w:pPr>
        <w:tabs>
          <w:tab w:val="left" w:pos="142"/>
          <w:tab w:val="left" w:pos="567"/>
          <w:tab w:val="num" w:pos="6327"/>
        </w:tabs>
        <w:ind w:left="5760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BF"/>
    <w:rsid w:val="00006DB0"/>
    <w:rsid w:val="000106D7"/>
    <w:rsid w:val="00012FE7"/>
    <w:rsid w:val="00014598"/>
    <w:rsid w:val="00030C30"/>
    <w:rsid w:val="00037321"/>
    <w:rsid w:val="000474D8"/>
    <w:rsid w:val="00067E74"/>
    <w:rsid w:val="000A762C"/>
    <w:rsid w:val="000B1135"/>
    <w:rsid w:val="000B69E1"/>
    <w:rsid w:val="000E56E0"/>
    <w:rsid w:val="00107017"/>
    <w:rsid w:val="00112C2E"/>
    <w:rsid w:val="001149CB"/>
    <w:rsid w:val="001204DD"/>
    <w:rsid w:val="001633E6"/>
    <w:rsid w:val="00163CD0"/>
    <w:rsid w:val="00177ACD"/>
    <w:rsid w:val="001829E0"/>
    <w:rsid w:val="0019159A"/>
    <w:rsid w:val="00194AEB"/>
    <w:rsid w:val="001B1941"/>
    <w:rsid w:val="001B1D5D"/>
    <w:rsid w:val="001C15AC"/>
    <w:rsid w:val="00202612"/>
    <w:rsid w:val="00236363"/>
    <w:rsid w:val="00270220"/>
    <w:rsid w:val="00291CD6"/>
    <w:rsid w:val="002A5FC6"/>
    <w:rsid w:val="002B2A16"/>
    <w:rsid w:val="002B7766"/>
    <w:rsid w:val="002D2A89"/>
    <w:rsid w:val="002D4397"/>
    <w:rsid w:val="002D6E78"/>
    <w:rsid w:val="002E4AAB"/>
    <w:rsid w:val="003008B9"/>
    <w:rsid w:val="00306914"/>
    <w:rsid w:val="003171B4"/>
    <w:rsid w:val="00330110"/>
    <w:rsid w:val="00336873"/>
    <w:rsid w:val="00340D2A"/>
    <w:rsid w:val="00347DB8"/>
    <w:rsid w:val="0035165F"/>
    <w:rsid w:val="003568F8"/>
    <w:rsid w:val="00360183"/>
    <w:rsid w:val="00372DFA"/>
    <w:rsid w:val="00380616"/>
    <w:rsid w:val="00383103"/>
    <w:rsid w:val="003A07EC"/>
    <w:rsid w:val="003A2A4C"/>
    <w:rsid w:val="003A52E4"/>
    <w:rsid w:val="003A7260"/>
    <w:rsid w:val="003E43BF"/>
    <w:rsid w:val="003F007E"/>
    <w:rsid w:val="003F431E"/>
    <w:rsid w:val="00400359"/>
    <w:rsid w:val="0040559B"/>
    <w:rsid w:val="0041747C"/>
    <w:rsid w:val="00422373"/>
    <w:rsid w:val="00445E88"/>
    <w:rsid w:val="00460380"/>
    <w:rsid w:val="0046418C"/>
    <w:rsid w:val="004A13FA"/>
    <w:rsid w:val="004C6975"/>
    <w:rsid w:val="004F3BCB"/>
    <w:rsid w:val="00537135"/>
    <w:rsid w:val="00545CFA"/>
    <w:rsid w:val="0056311E"/>
    <w:rsid w:val="00572288"/>
    <w:rsid w:val="0059471C"/>
    <w:rsid w:val="005B448B"/>
    <w:rsid w:val="005B76BB"/>
    <w:rsid w:val="005C0FD1"/>
    <w:rsid w:val="005D5D25"/>
    <w:rsid w:val="005E1DE0"/>
    <w:rsid w:val="005F1E89"/>
    <w:rsid w:val="00611FFD"/>
    <w:rsid w:val="00614E83"/>
    <w:rsid w:val="0062129A"/>
    <w:rsid w:val="00626F31"/>
    <w:rsid w:val="00641AE7"/>
    <w:rsid w:val="006544D4"/>
    <w:rsid w:val="00690A9A"/>
    <w:rsid w:val="006C777A"/>
    <w:rsid w:val="006E2CBD"/>
    <w:rsid w:val="007033D8"/>
    <w:rsid w:val="00706CA3"/>
    <w:rsid w:val="007341F4"/>
    <w:rsid w:val="00746CAE"/>
    <w:rsid w:val="00752191"/>
    <w:rsid w:val="007731CF"/>
    <w:rsid w:val="00797A05"/>
    <w:rsid w:val="007A6A7B"/>
    <w:rsid w:val="007B4893"/>
    <w:rsid w:val="007D4B27"/>
    <w:rsid w:val="008158F3"/>
    <w:rsid w:val="00821D70"/>
    <w:rsid w:val="00825E6D"/>
    <w:rsid w:val="0083421D"/>
    <w:rsid w:val="00835E52"/>
    <w:rsid w:val="008665D8"/>
    <w:rsid w:val="008A4F2A"/>
    <w:rsid w:val="008D2C7E"/>
    <w:rsid w:val="008E5F60"/>
    <w:rsid w:val="008F5EF0"/>
    <w:rsid w:val="0094062C"/>
    <w:rsid w:val="00944CC0"/>
    <w:rsid w:val="0096462E"/>
    <w:rsid w:val="0096674C"/>
    <w:rsid w:val="00981199"/>
    <w:rsid w:val="0099012A"/>
    <w:rsid w:val="00994086"/>
    <w:rsid w:val="009B0687"/>
    <w:rsid w:val="009B33A5"/>
    <w:rsid w:val="009C0547"/>
    <w:rsid w:val="009C205E"/>
    <w:rsid w:val="00A06D30"/>
    <w:rsid w:val="00A312AB"/>
    <w:rsid w:val="00A31D4E"/>
    <w:rsid w:val="00A366D7"/>
    <w:rsid w:val="00A7089A"/>
    <w:rsid w:val="00A81D1E"/>
    <w:rsid w:val="00A9496E"/>
    <w:rsid w:val="00AC4182"/>
    <w:rsid w:val="00AC696C"/>
    <w:rsid w:val="00AF2751"/>
    <w:rsid w:val="00AF5EA8"/>
    <w:rsid w:val="00B41DD7"/>
    <w:rsid w:val="00B45BF4"/>
    <w:rsid w:val="00B52965"/>
    <w:rsid w:val="00B65061"/>
    <w:rsid w:val="00B97956"/>
    <w:rsid w:val="00BA2DD3"/>
    <w:rsid w:val="00BD4D58"/>
    <w:rsid w:val="00BF2202"/>
    <w:rsid w:val="00C13299"/>
    <w:rsid w:val="00C31B04"/>
    <w:rsid w:val="00C52E4E"/>
    <w:rsid w:val="00C56EE1"/>
    <w:rsid w:val="00C62DA7"/>
    <w:rsid w:val="00C70ADF"/>
    <w:rsid w:val="00C80AD5"/>
    <w:rsid w:val="00C874D3"/>
    <w:rsid w:val="00C95BBB"/>
    <w:rsid w:val="00CA4BEA"/>
    <w:rsid w:val="00CE420F"/>
    <w:rsid w:val="00D23B23"/>
    <w:rsid w:val="00D267B0"/>
    <w:rsid w:val="00D333DB"/>
    <w:rsid w:val="00D3440C"/>
    <w:rsid w:val="00D46788"/>
    <w:rsid w:val="00D51ADD"/>
    <w:rsid w:val="00D52E2F"/>
    <w:rsid w:val="00D735CE"/>
    <w:rsid w:val="00D74942"/>
    <w:rsid w:val="00D8060E"/>
    <w:rsid w:val="00D83E58"/>
    <w:rsid w:val="00D93F29"/>
    <w:rsid w:val="00D943C9"/>
    <w:rsid w:val="00DA73F9"/>
    <w:rsid w:val="00DC4F30"/>
    <w:rsid w:val="00DC7203"/>
    <w:rsid w:val="00DE53A2"/>
    <w:rsid w:val="00DF02AC"/>
    <w:rsid w:val="00DF4880"/>
    <w:rsid w:val="00E00910"/>
    <w:rsid w:val="00E05B67"/>
    <w:rsid w:val="00E13025"/>
    <w:rsid w:val="00E14BC0"/>
    <w:rsid w:val="00E15FF1"/>
    <w:rsid w:val="00E171DC"/>
    <w:rsid w:val="00E24E9B"/>
    <w:rsid w:val="00E4240C"/>
    <w:rsid w:val="00E6048D"/>
    <w:rsid w:val="00E7288C"/>
    <w:rsid w:val="00E7605C"/>
    <w:rsid w:val="00E83F17"/>
    <w:rsid w:val="00E86906"/>
    <w:rsid w:val="00E9040D"/>
    <w:rsid w:val="00ED027E"/>
    <w:rsid w:val="00EE7DA4"/>
    <w:rsid w:val="00F13DE1"/>
    <w:rsid w:val="00F23B96"/>
    <w:rsid w:val="00F630DC"/>
    <w:rsid w:val="00F632E7"/>
    <w:rsid w:val="00F74F9E"/>
    <w:rsid w:val="00F83389"/>
    <w:rsid w:val="00F8434F"/>
    <w:rsid w:val="00FB1198"/>
    <w:rsid w:val="00FB1E9E"/>
    <w:rsid w:val="00FD768C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C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BF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3E43BF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E43BF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3E43BF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3E43BF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E43B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3E43BF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3E43B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3E43BF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3E43BF"/>
  </w:style>
  <w:style w:type="character" w:customStyle="1" w:styleId="20">
    <w:name w:val="Заголовок 2 Знак"/>
    <w:basedOn w:val="a0"/>
    <w:link w:val="2"/>
    <w:uiPriority w:val="9"/>
    <w:semiHidden/>
    <w:rsid w:val="003E43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E43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rvts0">
    <w:name w:val="rvts0"/>
    <w:rsid w:val="003E43BF"/>
  </w:style>
  <w:style w:type="paragraph" w:styleId="HTML">
    <w:name w:val="HTML Preformatted"/>
    <w:basedOn w:val="a"/>
    <w:link w:val="HTML0"/>
    <w:uiPriority w:val="99"/>
    <w:rsid w:val="00336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3687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Aa">
    <w:name w:val="Текстовый блок A"/>
    <w:rsid w:val="000A76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ru-RU" w:eastAsia="uk-UA"/>
    </w:rPr>
  </w:style>
  <w:style w:type="numbering" w:customStyle="1" w:styleId="8">
    <w:name w:val="Импортированный стиль 8"/>
    <w:rsid w:val="007A6A7B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7A6A7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81199"/>
    <w:rPr>
      <w:color w:val="0000FF"/>
      <w:u w:val="single"/>
    </w:rPr>
  </w:style>
  <w:style w:type="paragraph" w:customStyle="1" w:styleId="rvps2">
    <w:name w:val="rvps2"/>
    <w:basedOn w:val="a"/>
    <w:rsid w:val="00E760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A31D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rvts9">
    <w:name w:val="rvts9"/>
    <w:basedOn w:val="a0"/>
    <w:rsid w:val="00A31D4E"/>
  </w:style>
  <w:style w:type="character" w:customStyle="1" w:styleId="rvts23">
    <w:name w:val="rvts23"/>
    <w:basedOn w:val="a0"/>
    <w:rsid w:val="005F1E89"/>
  </w:style>
  <w:style w:type="character" w:customStyle="1" w:styleId="rvts15">
    <w:name w:val="rvts15"/>
    <w:basedOn w:val="a0"/>
    <w:rsid w:val="00D74942"/>
  </w:style>
  <w:style w:type="character" w:styleId="ae">
    <w:name w:val="Emphasis"/>
    <w:basedOn w:val="a0"/>
    <w:uiPriority w:val="20"/>
    <w:qFormat/>
    <w:rsid w:val="00A9496E"/>
    <w:rPr>
      <w:i/>
      <w:iCs/>
    </w:rPr>
  </w:style>
  <w:style w:type="character" w:customStyle="1" w:styleId="rvts46">
    <w:name w:val="rvts46"/>
    <w:basedOn w:val="a0"/>
    <w:rsid w:val="00A9496E"/>
  </w:style>
  <w:style w:type="paragraph" w:styleId="af">
    <w:name w:val="Balloon Text"/>
    <w:basedOn w:val="a"/>
    <w:link w:val="af0"/>
    <w:uiPriority w:val="99"/>
    <w:semiHidden/>
    <w:unhideWhenUsed/>
    <w:rsid w:val="0019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9159A"/>
    <w:rPr>
      <w:rFonts w:ascii="Segoe UI" w:eastAsia="Calibri" w:hAnsi="Segoe UI" w:cs="Segoe UI"/>
      <w:sz w:val="18"/>
      <w:szCs w:val="18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545CFA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545CFA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f3">
    <w:name w:val="footnote reference"/>
    <w:basedOn w:val="a0"/>
    <w:uiPriority w:val="99"/>
    <w:semiHidden/>
    <w:unhideWhenUsed/>
    <w:rsid w:val="00545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71A0-E1BD-4728-929A-1C3B3A63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4533</Words>
  <Characters>2585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2021-05-11T12:47:00Z</dcterms:created>
  <dcterms:modified xsi:type="dcterms:W3CDTF">2021-05-11T12:54:00Z</dcterms:modified>
</cp:coreProperties>
</file>