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5103"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Комітет з питань з питань екологічної політики та природокористування</w:t>
      </w:r>
    </w:p>
    <w:p w:rsidR="00000000" w:rsidDel="00000000" w:rsidP="00000000" w:rsidRDefault="00000000" w:rsidRPr="00000000" w14:paraId="00000002">
      <w:pPr>
        <w:spacing w:after="0" w:line="360" w:lineRule="auto"/>
        <w:ind w:left="5103" w:firstLine="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Рішення Комітету</w:t>
      </w: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щодо експертного висновку</w:t>
      </w: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законопроекту №5442</w:t>
      </w:r>
    </w:p>
    <w:p w:rsidR="00000000" w:rsidDel="00000000" w:rsidP="00000000" w:rsidRDefault="00000000" w:rsidRPr="00000000" w14:paraId="00000007">
      <w:pPr>
        <w:spacing w:after="0" w:line="360" w:lineRule="auto"/>
        <w:jc w:val="both"/>
        <w:rPr>
          <w:rFonts w:ascii="Times New Roman" w:cs="Times New Roman" w:eastAsia="Times New Roman" w:hAnsi="Times New Roman"/>
          <w:color w:val="333333"/>
          <w:sz w:val="16"/>
          <w:szCs w:val="16"/>
          <w:highlight w:val="white"/>
        </w:rPr>
      </w:pPr>
      <w:r w:rsidDel="00000000" w:rsidR="00000000" w:rsidRPr="00000000">
        <w:rPr>
          <w:rtl w:val="0"/>
        </w:rPr>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зі статтею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України «Про внесення змін до деяких законодавчих актів України щодо проведення робіт на землях водного фонду» (реєстр. № 5442), поданий народними депутатами України Прощуком Е.П., Бондаренком О.В. та іншими народними депутатами України.</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Відповідно до пояснювальної записки проєкт закону має на меті упорядкувати та спростити проведення руслоочисних робіт в руслах малих і гірських річок, забезпечити оперативність проведення заходів із попередження та усунення шкідливої дії вод та унеможливить несанкціонований видобуток мінеральної сировини в руслах малих і гірських річок.</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проекті акта виявлено положення, які можуть сприяти вчиненню корупційних правопорушень або правопорушень, пов’язаних з корупцією, зокрема в наступній частині.</w:t>
      </w:r>
    </w:p>
    <w:p w:rsidR="00000000" w:rsidDel="00000000" w:rsidP="00000000" w:rsidRDefault="00000000" w:rsidRPr="00000000" w14:paraId="0000000B">
      <w:pPr>
        <w:tabs>
          <w:tab w:val="left" w:pos="993"/>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По-перше, законопроект (в ч. 2 статті 86 Водного кодексу України) не передбачає, яким чином орган місцевого самоврядування визначатиме підрядника для проведення руслоочисних робіт в руслах малих та гірських річок та, відповідно, здійснення видобутку мінеральної сировини (за Кодексом України про надра (далі - КУпН) та Податковим кодексом України - корисних копалин), що створює можливість укладати такі угоди без конкурентних процедур. </w:t>
      </w:r>
    </w:p>
    <w:p w:rsidR="00000000" w:rsidDel="00000000" w:rsidP="00000000" w:rsidRDefault="00000000" w:rsidRPr="00000000" w14:paraId="0000000C">
      <w:pPr>
        <w:tabs>
          <w:tab w:val="left" w:pos="993"/>
        </w:tabs>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По-друге, законопроектом (в </w:t>
      </w:r>
      <w:r w:rsidDel="00000000" w:rsidR="00000000" w:rsidRPr="00000000">
        <w:rPr>
          <w:rFonts w:ascii="Times New Roman" w:cs="Times New Roman" w:eastAsia="Times New Roman" w:hAnsi="Times New Roman"/>
          <w:color w:val="000000"/>
          <w:sz w:val="28"/>
          <w:szCs w:val="28"/>
          <w:rtl w:val="0"/>
        </w:rPr>
        <w:t xml:space="preserve">ч. 1 статті 23</w:t>
      </w:r>
      <w:r w:rsidDel="00000000" w:rsidR="00000000" w:rsidRPr="00000000">
        <w:rPr>
          <w:rFonts w:ascii="Times New Roman" w:cs="Times New Roman" w:eastAsia="Times New Roman" w:hAnsi="Times New Roman"/>
          <w:color w:val="000000"/>
          <w:sz w:val="28"/>
          <w:szCs w:val="28"/>
          <w:vertAlign w:val="superscript"/>
          <w:rtl w:val="0"/>
        </w:rPr>
        <w:t xml:space="preserve">1</w:t>
      </w:r>
      <w:r w:rsidDel="00000000" w:rsidR="00000000" w:rsidRPr="00000000">
        <w:rPr>
          <w:rFonts w:ascii="Times New Roman" w:cs="Times New Roman" w:eastAsia="Times New Roman" w:hAnsi="Times New Roman"/>
          <w:color w:val="000000"/>
          <w:sz w:val="28"/>
          <w:szCs w:val="28"/>
          <w:rtl w:val="0"/>
        </w:rPr>
        <w:t xml:space="preserve"> КУпН)</w:t>
      </w:r>
      <w:r w:rsidDel="00000000" w:rsidR="00000000" w:rsidRPr="00000000">
        <w:rPr>
          <w:rFonts w:ascii="Times New Roman" w:cs="Times New Roman" w:eastAsia="Times New Roman" w:hAnsi="Times New Roman"/>
          <w:sz w:val="28"/>
          <w:szCs w:val="28"/>
          <w:rtl w:val="0"/>
        </w:rPr>
        <w:t xml:space="preserve"> підряднику надано можливість під час проведення руслоочисних робіт в руслах малих та гірських річок добувати мінеральну сировину, яка є корисними копалинами, без отримання спеціального дозволу на конкурсних засадах.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Крім того, законопроект не визначає, яким чином буде здійснюватися контроль за кількістю видобутої мінеральної сировини (корисних копалин) та  кількістю реалізованої сировини на електронних аукціонах, що, як наслідок, створює ризики істотного зменшення відрахувань до місцевих бюджетів. </w:t>
      </w:r>
    </w:p>
    <w:p w:rsidR="00000000" w:rsidDel="00000000" w:rsidP="00000000" w:rsidRDefault="00000000" w:rsidRPr="00000000" w14:paraId="0000000E">
      <w:pPr>
        <w:tabs>
          <w:tab w:val="left" w:pos="993"/>
        </w:tabs>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Керуючись положеннями пункту 3 частини першої статті 16 Закону України «Про комітети Верховної Ради України», статті 55 Закону України «Про запобігання корупції», частини першої статті 93 Регламенту Верховної Ради України, Комітет на своєму засіданні 21 вересня </w:t>
      </w:r>
      <w:r w:rsidDel="00000000" w:rsidR="00000000" w:rsidRPr="00000000">
        <w:rPr>
          <w:rFonts w:ascii="Times New Roman" w:cs="Times New Roman" w:eastAsia="Times New Roman" w:hAnsi="Times New Roman"/>
          <w:sz w:val="28"/>
          <w:szCs w:val="28"/>
          <w:rtl w:val="0"/>
        </w:rPr>
        <w:t xml:space="preserve">2021 року (протокол № 91) дійшов висновку та прийняв рішення, що проект Закону України «Про внесення змін до деяких законодавчих актів України щодо проведення робіт на землях водного фонду» (реєстр. № 5442), </w:t>
      </w:r>
      <w:r w:rsidDel="00000000" w:rsidR="00000000" w:rsidRPr="00000000">
        <w:rPr>
          <w:rFonts w:ascii="Times New Roman" w:cs="Times New Roman" w:eastAsia="Times New Roman" w:hAnsi="Times New Roman"/>
          <w:b w:val="1"/>
          <w:sz w:val="28"/>
          <w:szCs w:val="28"/>
          <w:rtl w:val="0"/>
        </w:rPr>
        <w:t xml:space="preserve">не відповідає вимогам антикорупційного законодавства в частині вищевикладеного.</w:t>
      </w:r>
      <w:r w:rsidDel="00000000" w:rsidR="00000000" w:rsidRPr="00000000">
        <w:rPr>
          <w:rtl w:val="0"/>
        </w:rPr>
      </w:r>
    </w:p>
    <w:p w:rsidR="00000000" w:rsidDel="00000000" w:rsidP="00000000" w:rsidRDefault="00000000" w:rsidRPr="00000000" w14:paraId="0000000F">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Комітету                                                                                              А. РАДІНА</w:t>
      </w:r>
    </w:p>
    <w:sectPr>
      <w:headerReference r:id="rId6" w:type="default"/>
      <w:headerReference r:id="rId7" w:type="first"/>
      <w:pgSz w:h="16838" w:w="11906" w:orient="portrait"/>
      <w:pgMar w:bottom="1134" w:top="709" w:left="1701" w:right="567" w:header="426" w:footer="42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tbl>
    <w:tblPr>
      <w:tblStyle w:val="Table1"/>
      <w:tblW w:w="11957.0" w:type="dxa"/>
      <w:jc w:val="left"/>
      <w:tblInd w:w="-17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57"/>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819"/>
              <w:tab w:val="right" w:pos="9639"/>
            </w:tabs>
            <w:spacing w:after="0" w:line="240" w:lineRule="auto"/>
            <w:rPr>
              <w:rFonts w:ascii="Times New Roman" w:cs="Times New Roman" w:eastAsia="Times New Roman" w:hAnsi="Times New Roman"/>
              <w:color w:val="002060"/>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819"/>
              <w:tab w:val="right" w:pos="9639"/>
            </w:tabs>
            <w:spacing w:after="0" w:line="240" w:lineRule="auto"/>
            <w:rPr>
              <w:rFonts w:ascii="Times New Roman" w:cs="Times New Roman" w:eastAsia="Times New Roman" w:hAnsi="Times New Roman"/>
              <w:color w:val="002060"/>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819"/>
              <w:tab w:val="right" w:pos="9639"/>
            </w:tabs>
            <w:spacing w:after="0" w:line="240" w:lineRule="auto"/>
            <w:rPr>
              <w:rFonts w:ascii="Times New Roman" w:cs="Times New Roman" w:eastAsia="Times New Roman" w:hAnsi="Times New Roman"/>
              <w:color w:val="002060"/>
              <w:sz w:val="32"/>
              <w:szCs w:val="3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819"/>
              <w:tab w:val="right" w:pos="9639"/>
            </w:tabs>
            <w:spacing w:after="0" w:before="80" w:line="240" w:lineRule="auto"/>
            <w:jc w:val="center"/>
            <w:rPr>
              <w:rFonts w:ascii="Times New Roman" w:cs="Times New Roman" w:eastAsia="Times New Roman" w:hAnsi="Times New Roman"/>
              <w:color w:val="1829a8"/>
              <w:sz w:val="34"/>
              <w:szCs w:val="34"/>
            </w:rPr>
          </w:pPr>
          <w:r w:rsidDel="00000000" w:rsidR="00000000" w:rsidRPr="00000000">
            <w:rPr>
              <w:rFonts w:ascii="Times New Roman" w:cs="Times New Roman" w:eastAsia="Times New Roman" w:hAnsi="Times New Roman"/>
              <w:color w:val="1829a8"/>
              <w:sz w:val="34"/>
              <w:szCs w:val="34"/>
              <w:rtl w:val="0"/>
            </w:rPr>
            <w:t xml:space="preserve">ВЕРХОВНА РАДА УКРАЇНИ</w:t>
          </w:r>
          <w:r w:rsidDel="00000000" w:rsidR="00000000" w:rsidRPr="00000000">
            <w:drawing>
              <wp:anchor allowOverlap="1" behindDoc="0" distB="0" distT="360045" distL="114300" distR="114300" hidden="0" layoutInCell="1" locked="0" relativeHeight="0" simplePos="0">
                <wp:simplePos x="0" y="0"/>
                <wp:positionH relativeFrom="column">
                  <wp:posOffset>3474084</wp:posOffset>
                </wp:positionH>
                <wp:positionV relativeFrom="paragraph">
                  <wp:posOffset>-801368</wp:posOffset>
                </wp:positionV>
                <wp:extent cx="461010" cy="636905"/>
                <wp:effectExtent b="0" l="0" r="0" t="0"/>
                <wp:wrapSquare wrapText="bothSides" distB="0" distT="360045"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1010" cy="636905"/>
                        </a:xfrm>
                        <a:prstGeom prst="rect"/>
                        <a:ln/>
                      </pic:spPr>
                    </pic:pic>
                  </a:graphicData>
                </a:graphic>
              </wp:anchor>
            </w:drawing>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819"/>
              <w:tab w:val="right" w:pos="9639"/>
            </w:tabs>
            <w:spacing w:after="0" w:before="100" w:line="240" w:lineRule="auto"/>
            <w:jc w:val="center"/>
            <w:rPr>
              <w:rFonts w:ascii="Times New Roman" w:cs="Times New Roman" w:eastAsia="Times New Roman" w:hAnsi="Times New Roman"/>
              <w:b w:val="1"/>
              <w:color w:val="1829a8"/>
              <w:sz w:val="24"/>
              <w:szCs w:val="24"/>
            </w:rPr>
          </w:pPr>
          <w:r w:rsidDel="00000000" w:rsidR="00000000" w:rsidRPr="00000000">
            <w:rPr>
              <w:rFonts w:ascii="Times New Roman" w:cs="Times New Roman" w:eastAsia="Times New Roman" w:hAnsi="Times New Roman"/>
              <w:b w:val="1"/>
              <w:color w:val="1829a8"/>
              <w:sz w:val="24"/>
              <w:szCs w:val="24"/>
              <w:rtl w:val="0"/>
            </w:rPr>
            <w:t xml:space="preserve">Комітет з питань антикорупційної політики</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819"/>
              <w:tab w:val="right" w:pos="9639"/>
            </w:tabs>
            <w:spacing w:after="60" w:before="160" w:line="240" w:lineRule="auto"/>
            <w:jc w:val="center"/>
            <w:rPr>
              <w:color w:val="002060"/>
              <w:sz w:val="20"/>
              <w:szCs w:val="20"/>
            </w:rPr>
          </w:pPr>
          <w:r w:rsidDel="00000000" w:rsidR="00000000" w:rsidRPr="00000000">
            <w:rPr>
              <w:rFonts w:ascii="Times New Roman" w:cs="Times New Roman" w:eastAsia="Times New Roman" w:hAnsi="Times New Roman"/>
              <w:color w:val="1829a8"/>
              <w:sz w:val="20"/>
              <w:szCs w:val="20"/>
              <w:rtl w:val="0"/>
            </w:rPr>
            <w:t xml:space="preserve">01008, м.Київ-8, вул. М. Грушевського, 5, тел.: (044) 255-35-03,  e-mail: crimecor@rada.gov.ua</w:t>
          </w:r>
          <w:r w:rsidDel="00000000" w:rsidR="00000000" w:rsidRPr="00000000">
            <w:rPr>
              <w:rtl w:val="0"/>
            </w:rPr>
          </w:r>
        </w:p>
      </w:tc>
    </w:tr>
  </w:tb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276" w:lineRule="auto"/>
      <w:rPr>
        <w:color w:val="002060"/>
        <w:sz w:val="20"/>
        <w:szCs w:val="20"/>
      </w:rPr>
    </w:pPr>
    <w:r w:rsidDel="00000000" w:rsidR="00000000" w:rsidRPr="00000000">
      <w:rPr>
        <w:rtl w:val="0"/>
      </w:rPr>
    </w:r>
  </w:p>
  <w:tbl>
    <w:tblPr>
      <w:tblStyle w:val="Table2"/>
      <w:tblW w:w="11886.0" w:type="dxa"/>
      <w:jc w:val="left"/>
      <w:tblInd w:w="-1680.0" w:type="dxa"/>
      <w:tblBorders>
        <w:top w:color="0033cc"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7"/>
      <w:gridCol w:w="9713"/>
      <w:gridCol w:w="1086"/>
    </w:tblGrid>
    <w:tr>
      <w:trPr>
        <w:cantSplit w:val="0"/>
        <w:tblHeader w:val="0"/>
      </w:trPr>
      <w:tc>
        <w:tcPr>
          <w:tcBorders>
            <w:top w:color="000000" w:space="0" w:sz="0" w:val="nil"/>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819"/>
              <w:tab w:val="right" w:pos="9639"/>
            </w:tabs>
            <w:rPr>
              <w:rFonts w:ascii="Times New Roman" w:cs="Times New Roman" w:eastAsia="Times New Roman" w:hAnsi="Times New Roman"/>
              <w:color w:val="002060"/>
              <w:sz w:val="22"/>
              <w:szCs w:val="22"/>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819"/>
              <w:tab w:val="right" w:pos="9639"/>
            </w:tabs>
            <w:rPr>
              <w:rFonts w:ascii="Times New Roman" w:cs="Times New Roman" w:eastAsia="Times New Roman" w:hAnsi="Times New Roman"/>
              <w:color w:val="002060"/>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819"/>
              <w:tab w:val="right" w:pos="9639"/>
            </w:tabs>
            <w:rPr>
              <w:rFonts w:ascii="Times New Roman" w:cs="Times New Roman" w:eastAsia="Times New Roman" w:hAnsi="Times New Roman"/>
              <w:color w:val="002060"/>
              <w:sz w:val="22"/>
              <w:szCs w:val="22"/>
            </w:rPr>
          </w:pPr>
          <w:r w:rsidDel="00000000" w:rsidR="00000000" w:rsidRPr="00000000">
            <w:rPr>
              <w:rtl w:val="0"/>
            </w:rPr>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819"/>
        <w:tab w:val="right" w:pos="9639"/>
      </w:tabs>
      <w:spacing w:after="0" w:line="240" w:lineRule="auto"/>
      <w:rPr>
        <w:rFonts w:ascii="Times New Roman" w:cs="Times New Roman" w:eastAsia="Times New Roman" w:hAnsi="Times New Roman"/>
        <w:color w:val="002060"/>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FC39E-0DA6-49C9-B6C9-A82EB96FC838}"/>
</file>

<file path=customXml/itemProps2.xml><?xml version="1.0" encoding="utf-8"?>
<ds:datastoreItem xmlns:ds="http://schemas.openxmlformats.org/officeDocument/2006/customXml" ds:itemID="{A48A6411-11BE-47C6-AFDF-CE2196373B85}"/>
</file>

<file path=customXml/itemProps3.xml><?xml version="1.0" encoding="utf-8"?>
<ds:datastoreItem xmlns:ds="http://schemas.openxmlformats.org/officeDocument/2006/customXml" ds:itemID="{3105E84C-F2E1-4EDE-9506-D98FA7262F5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Документ_700448.docx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