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66" w:rsidRDefault="00C43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2299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99"/>
      </w:tblGrid>
      <w:tr w:rsidR="00C43466"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</w:tcPr>
          <w:p w:rsidR="00C43466" w:rsidRDefault="002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anchor distT="360045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17146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3466" w:rsidRDefault="00C4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C43466" w:rsidRDefault="00C4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C43466" w:rsidRDefault="002858F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</w:p>
          <w:p w:rsidR="00C43466" w:rsidRDefault="002858F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 з питань антикорупційної політики</w:t>
            </w:r>
          </w:p>
          <w:p w:rsidR="00C43466" w:rsidRDefault="002858FA">
            <w:pPr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.: (044) 255-35-03,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C43466" w:rsidRDefault="00C43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Style w:val="a6"/>
        <w:tblW w:w="11886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9713"/>
        <w:gridCol w:w="1086"/>
      </w:tblGrid>
      <w:tr w:rsidR="00C43466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C43466" w:rsidRDefault="00C43466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4" w:type="dxa"/>
            <w:tcBorders>
              <w:top w:val="single" w:sz="12" w:space="0" w:color="0033CC"/>
              <w:left w:val="nil"/>
              <w:bottom w:val="nil"/>
              <w:right w:val="nil"/>
            </w:tcBorders>
          </w:tcPr>
          <w:p w:rsidR="00C43466" w:rsidRDefault="00C43466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43466" w:rsidRDefault="00C43466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C43466" w:rsidRDefault="00C43466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C43466" w:rsidRDefault="00C4346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C43466" w:rsidRDefault="00C43466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C43466" w:rsidRDefault="002858FA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 Верховної Ради України з питань з питань організації державної влади, місцевого самоврядування, регіонального розвитку та містобудування</w:t>
      </w:r>
    </w:p>
    <w:p w:rsidR="00C43466" w:rsidRDefault="0028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Комітету</w:t>
      </w:r>
    </w:p>
    <w:p w:rsidR="00C43466" w:rsidRDefault="0028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 експертного висновку</w:t>
      </w:r>
    </w:p>
    <w:p w:rsidR="00C43466" w:rsidRDefault="002858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законопроекту № 5469</w:t>
      </w:r>
    </w:p>
    <w:p w:rsidR="00C43466" w:rsidRDefault="00C434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highlight w:val="white"/>
        </w:rPr>
      </w:pPr>
    </w:p>
    <w:p w:rsidR="00C43466" w:rsidRDefault="00285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зі статтею 93 Регламенту Верховної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про внесення змін до деяких законів Україн</w:t>
      </w:r>
      <w:r>
        <w:rPr>
          <w:rFonts w:ascii="Times New Roman" w:eastAsia="Times New Roman" w:hAnsi="Times New Roman" w:cs="Times New Roman"/>
          <w:sz w:val="28"/>
          <w:szCs w:val="28"/>
        </w:rPr>
        <w:t>и щодо організації діяльності Кабінету Міністрів України та центральних органів виконавчої влади (реєстр. № 5469), поданий Кабінетом Міністрів України.</w:t>
      </w:r>
    </w:p>
    <w:p w:rsidR="00C43466" w:rsidRDefault="002858FA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пояснювальної записки, метою і завданням законопроекту є вдосконалення організації і порядку функціонування Кабінету Міністрів України та центральних органів виконавчої влади, підвищення ефективності їх діяльності, посилення ролі міністерств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процесі формування державної політики. </w:t>
      </w:r>
    </w:p>
    <w:p w:rsidR="00C43466" w:rsidRDefault="002858FA" w:rsidP="001A3F96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виявлено положення, які можуть сприяти вчиненню корупційних правопорушень або правопорушень, пов’язаних з корупцією.</w:t>
      </w:r>
    </w:p>
    <w:p w:rsidR="00C43466" w:rsidRDefault="002858FA">
      <w:pPr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По-перше, змінами до Закону України «Про столицю України - місто-герой Київ», проп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онується визначити, зокрема, що «за рішенням Кабінету Міністрів України може бути визначено інше місце розташування центральних органів державної влади».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 з тим, поняття «центральний орган державної влади» охоплює не лише центральні органи виконавчої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влади, що входять до системи органів виконавчої влади, вищим органом якої є Кабінет Міністрів України, але й інші органи державної влади. Таким чином, така ініціатива проекту Закону виходить за межі повноважень Кабінету Міністрів України та суперечить 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титуційному принципу про поділ влади.</w:t>
      </w:r>
    </w:p>
    <w:p w:rsidR="00C43466" w:rsidRDefault="002858FA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По-друге,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змінами до частини 3 статті 4 Закону України «Про центральні органи виконавчої влади» встановлюється, що «Кабінет Міністрів України може прийняти рішення про визначення іншого місцезнаходження міністерств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 центральних органів виконавчої влади з урахуванням особливостей їх функціонування». Проте, таке формулювання не відповідає принципу правово</w:t>
      </w:r>
      <w:r w:rsidR="00571D24">
        <w:rPr>
          <w:rFonts w:ascii="Times New Roman" w:eastAsia="Times New Roman" w:hAnsi="Times New Roman" w:cs="Times New Roman"/>
          <w:color w:val="000000"/>
          <w:sz w:val="28"/>
          <w:szCs w:val="28"/>
        </w:rPr>
        <w:t>ї визначеності та суперечить 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Конституції України, наслідком чого може мати місце невиправдане встановлен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чи надмірне розширення дискреційних повноважень Кабінету Міністрів України, адже у законопроекті не визначені підстави для прийняття Урядом такого рішення. Це ж зауваження стосується і викладеної вище пропозиції законопроекту, за якою </w:t>
      </w:r>
      <w:r>
        <w:rPr>
          <w:rFonts w:ascii="Times New Roman" w:eastAsia="Times New Roman" w:hAnsi="Times New Roman" w:cs="Times New Roman"/>
          <w:sz w:val="28"/>
          <w:szCs w:val="28"/>
        </w:rPr>
        <w:t>«за рішенням Кабінету Міністрів України може бути визначено інше місце розташування центральних органів державної влади».</w:t>
      </w:r>
    </w:p>
    <w:p w:rsidR="00C43466" w:rsidRDefault="002858FA" w:rsidP="00BF52EA">
      <w:pPr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По-третє, п</w:t>
      </w:r>
      <w:r>
        <w:rPr>
          <w:rFonts w:ascii="Times New Roman" w:eastAsia="Times New Roman" w:hAnsi="Times New Roman" w:cs="Times New Roman"/>
          <w:sz w:val="28"/>
          <w:szCs w:val="28"/>
        </w:rPr>
        <w:t>ропозиція законопроекту про віднесення до компетенції Кабінету Міністрів України забезпечення проведення державної політик</w:t>
      </w:r>
      <w:r>
        <w:rPr>
          <w:rFonts w:ascii="Times New Roman" w:eastAsia="Times New Roman" w:hAnsi="Times New Roman" w:cs="Times New Roman"/>
          <w:sz w:val="28"/>
          <w:szCs w:val="28"/>
        </w:rPr>
        <w:t>и у сфері правової політики, зокрема, правове регулювання публічної влади та прав людини, розвиток судочинства не узгоджує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ться з приписами статті 92 Конституції України, відповідно до якої виключно законами України визначаються «організація і діяльність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ганів виконавчої влади»,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«судоустрій, судочинство, статус суддів», «права і свободи людини і громадянина, гарантії цих прав і свобод; основні обов’язки громадянина».</w:t>
      </w:r>
    </w:p>
    <w:p w:rsidR="00C43466" w:rsidRDefault="002858FA" w:rsidP="00BF52EA">
      <w:pPr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чином, Комітет рекомендує усунути виявлені недоліки законопроекту з метою уникнення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корупційних ризиків. </w:t>
      </w:r>
    </w:p>
    <w:p w:rsidR="00C43466" w:rsidRDefault="002858FA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України, Комітет на </w:t>
      </w:r>
      <w:r>
        <w:rPr>
          <w:rFonts w:ascii="Times New Roman" w:eastAsia="Times New Roman" w:hAnsi="Times New Roman" w:cs="Times New Roman"/>
          <w:sz w:val="28"/>
          <w:szCs w:val="28"/>
        </w:rPr>
        <w:t>своєму засіданні 21 вересня 2021 року (протокол № 91) дійшов висновку та прийняв рішення, що проект Закону про внесення змін до деяких законів України щодо організації діяльності Кабінету Міністрів України та центральних органів виконавчої влади (реєстр.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5469), поданий Кабінетом Міністрів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відповідає вимогам антикорупційного законодавства.</w:t>
      </w:r>
    </w:p>
    <w:p w:rsidR="00C43466" w:rsidRDefault="00C43466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466" w:rsidRDefault="00C43466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466" w:rsidRDefault="00285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Перший заступник голови Комітету                                       Я.Р. ЮРЧИШИН</w:t>
      </w: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C434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466" w:rsidRDefault="0028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</w:rPr>
        <w:t>.</w:t>
      </w:r>
    </w:p>
    <w:sectPr w:rsidR="00C43466">
      <w:headerReference w:type="first" r:id="rId7"/>
      <w:pgSz w:w="11906" w:h="16838"/>
      <w:pgMar w:top="709" w:right="567" w:bottom="1276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FA" w:rsidRDefault="002858FA">
      <w:pPr>
        <w:spacing w:after="0" w:line="240" w:lineRule="auto"/>
      </w:pPr>
      <w:r>
        <w:separator/>
      </w:r>
    </w:p>
  </w:endnote>
  <w:endnote w:type="continuationSeparator" w:id="0">
    <w:p w:rsidR="002858FA" w:rsidRDefault="0028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FA" w:rsidRDefault="002858FA">
      <w:pPr>
        <w:spacing w:after="0" w:line="240" w:lineRule="auto"/>
      </w:pPr>
      <w:r>
        <w:separator/>
      </w:r>
    </w:p>
  </w:footnote>
  <w:footnote w:type="continuationSeparator" w:id="0">
    <w:p w:rsidR="002858FA" w:rsidRDefault="0028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66" w:rsidRDefault="00C4346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p w:rsidR="00C43466" w:rsidRDefault="00C434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66"/>
    <w:rsid w:val="001A3F96"/>
    <w:rsid w:val="002858FA"/>
    <w:rsid w:val="00571D24"/>
    <w:rsid w:val="00945686"/>
    <w:rsid w:val="00BF52EA"/>
    <w:rsid w:val="00C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058"/>
  <w15:docId w15:val="{EA66B505-8B22-4A0E-AB55-41FEF736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2610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Вишневська Катерина Олександрівна</dc:creator>
  <cp:lastModifiedBy>Вишневська Катерина Олександрівна</cp:lastModifiedBy>
  <cp:revision>2</cp:revision>
  <dcterms:created xsi:type="dcterms:W3CDTF">2021-09-22T11:24:00Z</dcterms:created>
  <dcterms:modified xsi:type="dcterms:W3CDTF">2021-09-22T11:24:00Z</dcterms:modified>
</cp:coreProperties>
</file>