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9E" w:rsidRPr="00E66472" w:rsidRDefault="00F2429E" w:rsidP="00F2429E">
      <w:pPr>
        <w:spacing w:after="0" w:line="240" w:lineRule="auto"/>
        <w:ind w:left="6096"/>
        <w:rPr>
          <w:rFonts w:ascii="Times New Roman" w:eastAsia="Times New Roman" w:hAnsi="Times New Roman"/>
          <w:b/>
          <w:sz w:val="27"/>
          <w:szCs w:val="27"/>
          <w:lang w:val="uk-UA" w:eastAsia="ru-RU"/>
        </w:rPr>
      </w:pPr>
    </w:p>
    <w:p w:rsidR="00AE5DD8" w:rsidRPr="0093147A" w:rsidRDefault="00AE5DD8" w:rsidP="0093147A">
      <w:pPr>
        <w:spacing w:after="0" w:line="264" w:lineRule="auto"/>
        <w:ind w:left="5954"/>
        <w:rPr>
          <w:rFonts w:ascii="Times New Roman" w:eastAsia="Times New Roman" w:hAnsi="Times New Roman"/>
          <w:b/>
          <w:sz w:val="28"/>
          <w:szCs w:val="27"/>
          <w:lang w:val="uk-UA" w:eastAsia="ru-RU"/>
        </w:rPr>
      </w:pPr>
      <w:r w:rsidRPr="0093147A">
        <w:rPr>
          <w:rFonts w:ascii="Times New Roman" w:eastAsia="Times New Roman" w:hAnsi="Times New Roman"/>
          <w:b/>
          <w:sz w:val="28"/>
          <w:szCs w:val="27"/>
          <w:lang w:val="uk-UA" w:eastAsia="ru-RU"/>
        </w:rPr>
        <w:t>Комітет Верховної Ради України</w:t>
      </w:r>
    </w:p>
    <w:p w:rsidR="00AE5DD8" w:rsidRPr="0093147A" w:rsidRDefault="00DF7F8F" w:rsidP="0093147A">
      <w:pPr>
        <w:spacing w:after="0" w:line="264" w:lineRule="auto"/>
        <w:ind w:left="5954"/>
        <w:rPr>
          <w:rFonts w:ascii="Times New Roman" w:eastAsia="Times New Roman" w:hAnsi="Times New Roman"/>
          <w:b/>
          <w:sz w:val="28"/>
          <w:szCs w:val="27"/>
          <w:lang w:val="uk-UA" w:eastAsia="ru-RU"/>
        </w:rPr>
      </w:pPr>
      <w:r w:rsidRPr="0093147A">
        <w:rPr>
          <w:rFonts w:ascii="Times New Roman" w:eastAsia="Times New Roman" w:hAnsi="Times New Roman"/>
          <w:b/>
          <w:sz w:val="28"/>
          <w:szCs w:val="27"/>
          <w:lang w:val="uk-UA" w:eastAsia="ru-RU"/>
        </w:rPr>
        <w:t>з питань енергетики та житлово-комунальних послуг</w:t>
      </w:r>
    </w:p>
    <w:p w:rsidR="00AE5DD8" w:rsidRPr="00366B35" w:rsidRDefault="00AE5DD8" w:rsidP="00AE5DD8">
      <w:pPr>
        <w:spacing w:after="0" w:line="240" w:lineRule="auto"/>
        <w:ind w:firstLine="709"/>
        <w:rPr>
          <w:rFonts w:ascii="Times New Roman" w:eastAsia="Times New Roman" w:hAnsi="Times New Roman"/>
          <w:i/>
          <w:lang w:val="uk-UA" w:eastAsia="ru-RU"/>
        </w:rPr>
      </w:pPr>
    </w:p>
    <w:p w:rsidR="00AE5DD8" w:rsidRPr="0093147A" w:rsidRDefault="00AE5DD8" w:rsidP="00BE6F00">
      <w:pPr>
        <w:spacing w:after="0" w:line="240" w:lineRule="auto"/>
        <w:ind w:left="142" w:firstLine="708"/>
        <w:rPr>
          <w:rFonts w:ascii="Times New Roman" w:eastAsia="Times New Roman" w:hAnsi="Times New Roman"/>
          <w:i/>
          <w:sz w:val="24"/>
          <w:lang w:val="uk-UA" w:eastAsia="ru-RU"/>
        </w:rPr>
      </w:pPr>
      <w:r w:rsidRPr="0093147A">
        <w:rPr>
          <w:rFonts w:ascii="Times New Roman" w:eastAsia="Times New Roman" w:hAnsi="Times New Roman"/>
          <w:i/>
          <w:sz w:val="24"/>
          <w:lang w:val="uk-UA" w:eastAsia="ru-RU"/>
        </w:rPr>
        <w:t>Про розгляд законопроект</w:t>
      </w:r>
      <w:r w:rsidR="006B3B92">
        <w:rPr>
          <w:rFonts w:ascii="Times New Roman" w:eastAsia="Times New Roman" w:hAnsi="Times New Roman"/>
          <w:i/>
          <w:sz w:val="24"/>
          <w:lang w:val="uk-UA" w:eastAsia="ru-RU"/>
        </w:rPr>
        <w:t>у</w:t>
      </w:r>
    </w:p>
    <w:p w:rsidR="0023739B" w:rsidRPr="0093147A" w:rsidRDefault="00F96DA4" w:rsidP="00065CD2">
      <w:pPr>
        <w:spacing w:after="0" w:line="240" w:lineRule="auto"/>
        <w:ind w:left="142" w:firstLine="708"/>
        <w:rPr>
          <w:rFonts w:ascii="Times New Roman" w:eastAsia="Times New Roman" w:hAnsi="Times New Roman"/>
          <w:i/>
          <w:sz w:val="24"/>
          <w:lang w:val="uk-UA" w:eastAsia="ru-RU"/>
        </w:rPr>
      </w:pPr>
      <w:r w:rsidRPr="0093147A">
        <w:rPr>
          <w:rFonts w:ascii="Times New Roman" w:eastAsia="Times New Roman" w:hAnsi="Times New Roman"/>
          <w:i/>
          <w:sz w:val="24"/>
          <w:lang w:val="uk-UA" w:eastAsia="ru-RU"/>
        </w:rPr>
        <w:t xml:space="preserve">за реєстр. № </w:t>
      </w:r>
      <w:r w:rsidR="00B8380F" w:rsidRPr="00B8380F">
        <w:rPr>
          <w:rFonts w:ascii="Times New Roman" w:eastAsia="Times New Roman" w:hAnsi="Times New Roman"/>
          <w:i/>
          <w:sz w:val="24"/>
          <w:lang w:val="uk-UA" w:eastAsia="ru-RU"/>
        </w:rPr>
        <w:t>5436-2 від 19.05.2021</w:t>
      </w:r>
    </w:p>
    <w:p w:rsidR="00B8380F" w:rsidRDefault="00AE5DD8" w:rsidP="00065CD2">
      <w:pPr>
        <w:spacing w:before="240" w:after="0" w:line="300" w:lineRule="auto"/>
        <w:ind w:left="142" w:firstLine="709"/>
        <w:jc w:val="both"/>
        <w:rPr>
          <w:rFonts w:ascii="Times New Roman" w:eastAsia="Times New Roman" w:hAnsi="Times New Roman"/>
          <w:bCs/>
          <w:sz w:val="28"/>
          <w:szCs w:val="28"/>
          <w:lang w:val="uk-UA" w:eastAsia="ru-RU"/>
        </w:rPr>
      </w:pPr>
      <w:r w:rsidRPr="00B27952">
        <w:rPr>
          <w:rFonts w:ascii="Times New Roman" w:eastAsia="Times New Roman" w:hAnsi="Times New Roman"/>
          <w:bCs/>
          <w:sz w:val="28"/>
          <w:szCs w:val="28"/>
          <w:lang w:val="uk-UA" w:eastAsia="ru-RU"/>
        </w:rPr>
        <w:t xml:space="preserve">Комітет Верховної Ради України з питань бюджету на своєму засіданні </w:t>
      </w:r>
      <w:r w:rsidR="00B201A7">
        <w:rPr>
          <w:rFonts w:ascii="Times New Roman" w:eastAsia="Times New Roman" w:hAnsi="Times New Roman"/>
          <w:bCs/>
          <w:sz w:val="28"/>
          <w:szCs w:val="28"/>
          <w:lang w:val="uk-UA" w:eastAsia="ru-RU"/>
        </w:rPr>
        <w:t>30 червня 2021 року (протокол № 94)</w:t>
      </w:r>
      <w:bookmarkStart w:id="0" w:name="_GoBack"/>
      <w:bookmarkEnd w:id="0"/>
      <w:r w:rsidRPr="00B27952">
        <w:rPr>
          <w:rFonts w:ascii="Times New Roman" w:eastAsia="Times New Roman" w:hAnsi="Times New Roman"/>
          <w:bCs/>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F24085">
        <w:rPr>
          <w:rFonts w:ascii="Times New Roman" w:eastAsia="Times New Roman" w:hAnsi="Times New Roman"/>
          <w:bCs/>
          <w:sz w:val="28"/>
          <w:szCs w:val="28"/>
          <w:lang w:val="uk-UA" w:eastAsia="ru-RU"/>
        </w:rPr>
        <w:t>«П</w:t>
      </w:r>
      <w:r w:rsidR="00F24085" w:rsidRPr="00F24085">
        <w:rPr>
          <w:rFonts w:ascii="Times New Roman" w:eastAsia="Times New Roman" w:hAnsi="Times New Roman"/>
          <w:bCs/>
          <w:sz w:val="28"/>
          <w:szCs w:val="28"/>
          <w:lang w:val="uk-UA" w:eastAsia="ru-RU"/>
        </w:rPr>
        <w:t>ро внесення змін до деяких законів України щодо розвитку систем накопичення енергії та торгівлі на електронних аукціонах</w:t>
      </w:r>
      <w:r w:rsidR="00F24085">
        <w:rPr>
          <w:rFonts w:ascii="Times New Roman" w:eastAsia="Times New Roman" w:hAnsi="Times New Roman"/>
          <w:bCs/>
          <w:sz w:val="28"/>
          <w:szCs w:val="28"/>
          <w:lang w:val="uk-UA" w:eastAsia="ru-RU"/>
        </w:rPr>
        <w:t>» (</w:t>
      </w:r>
      <w:r w:rsidR="00F24085" w:rsidRPr="00F24085">
        <w:rPr>
          <w:rFonts w:ascii="Times New Roman" w:eastAsia="Times New Roman" w:hAnsi="Times New Roman"/>
          <w:bCs/>
          <w:sz w:val="28"/>
          <w:szCs w:val="28"/>
          <w:lang w:val="uk-UA" w:eastAsia="ru-RU"/>
        </w:rPr>
        <w:t>реєстр. № 5436-2 від 19.05.2021</w:t>
      </w:r>
      <w:r w:rsidR="00F24085">
        <w:rPr>
          <w:rFonts w:ascii="Times New Roman" w:eastAsia="Times New Roman" w:hAnsi="Times New Roman"/>
          <w:bCs/>
          <w:sz w:val="28"/>
          <w:szCs w:val="28"/>
          <w:lang w:val="uk-UA" w:eastAsia="ru-RU"/>
        </w:rPr>
        <w:t xml:space="preserve">), </w:t>
      </w:r>
      <w:r w:rsidR="00F24085" w:rsidRPr="00F24085">
        <w:rPr>
          <w:rFonts w:ascii="Times New Roman" w:eastAsia="Times New Roman" w:hAnsi="Times New Roman"/>
          <w:bCs/>
          <w:sz w:val="28"/>
          <w:szCs w:val="28"/>
          <w:lang w:val="uk-UA" w:eastAsia="ru-RU"/>
        </w:rPr>
        <w:t>поданий народними депутатами України</w:t>
      </w:r>
      <w:r w:rsidR="00F24085">
        <w:rPr>
          <w:rFonts w:ascii="Times New Roman" w:eastAsia="Times New Roman" w:hAnsi="Times New Roman"/>
          <w:bCs/>
          <w:sz w:val="28"/>
          <w:szCs w:val="28"/>
          <w:lang w:val="uk-UA" w:eastAsia="ru-RU"/>
        </w:rPr>
        <w:t xml:space="preserve"> Герусом А. М., Нагорняком С. В. та іншими,  </w:t>
      </w:r>
      <w:r w:rsidR="00F24085" w:rsidRPr="00F24085">
        <w:rPr>
          <w:rFonts w:ascii="Times New Roman" w:eastAsia="Times New Roman" w:hAnsi="Times New Roman"/>
          <w:bCs/>
          <w:sz w:val="28"/>
          <w:szCs w:val="28"/>
          <w:lang w:val="uk-UA" w:eastAsia="ru-RU"/>
        </w:rPr>
        <w:t>і повідомляє наступне.</w:t>
      </w:r>
    </w:p>
    <w:p w:rsidR="00B8380F" w:rsidRDefault="002D13C4" w:rsidP="00D714FA">
      <w:pPr>
        <w:spacing w:after="0" w:line="300" w:lineRule="auto"/>
        <w:ind w:left="142" w:firstLine="709"/>
        <w:jc w:val="both"/>
        <w:rPr>
          <w:rFonts w:ascii="Times New Roman" w:eastAsia="Times New Roman" w:hAnsi="Times New Roman"/>
          <w:bCs/>
          <w:sz w:val="28"/>
          <w:szCs w:val="28"/>
          <w:lang w:val="uk-UA" w:eastAsia="ru-RU"/>
        </w:rPr>
      </w:pPr>
      <w:r w:rsidRPr="00065CD2">
        <w:rPr>
          <w:rFonts w:ascii="Times New Roman" w:eastAsia="Times New Roman" w:hAnsi="Times New Roman"/>
          <w:bCs/>
          <w:sz w:val="28"/>
          <w:szCs w:val="28"/>
          <w:lang w:val="uk-UA" w:eastAsia="ru-RU"/>
        </w:rPr>
        <w:t>Ре</w:t>
      </w:r>
      <w:r>
        <w:rPr>
          <w:rFonts w:ascii="Times New Roman" w:eastAsia="Times New Roman" w:hAnsi="Times New Roman"/>
          <w:bCs/>
          <w:sz w:val="28"/>
          <w:szCs w:val="28"/>
          <w:lang w:val="uk-UA" w:eastAsia="ru-RU"/>
        </w:rPr>
        <w:t>алізація положень законопроекту</w:t>
      </w:r>
      <w:r w:rsidRPr="00065CD2">
        <w:rPr>
          <w:rFonts w:ascii="Times New Roman" w:eastAsia="Times New Roman" w:hAnsi="Times New Roman"/>
          <w:bCs/>
          <w:sz w:val="28"/>
          <w:szCs w:val="28"/>
          <w:lang w:val="uk-UA" w:eastAsia="ru-RU"/>
        </w:rPr>
        <w:t>, як зазначається у пояснювальн</w:t>
      </w:r>
      <w:r>
        <w:rPr>
          <w:rFonts w:ascii="Times New Roman" w:eastAsia="Times New Roman" w:hAnsi="Times New Roman"/>
          <w:bCs/>
          <w:sz w:val="28"/>
          <w:szCs w:val="28"/>
          <w:lang w:val="uk-UA" w:eastAsia="ru-RU"/>
        </w:rPr>
        <w:t>ій</w:t>
      </w:r>
      <w:r w:rsidRPr="00065CD2">
        <w:rPr>
          <w:rFonts w:ascii="Times New Roman" w:eastAsia="Times New Roman" w:hAnsi="Times New Roman"/>
          <w:bCs/>
          <w:sz w:val="28"/>
          <w:szCs w:val="28"/>
          <w:lang w:val="uk-UA" w:eastAsia="ru-RU"/>
        </w:rPr>
        <w:t xml:space="preserve"> запис</w:t>
      </w:r>
      <w:r>
        <w:rPr>
          <w:rFonts w:ascii="Times New Roman" w:eastAsia="Times New Roman" w:hAnsi="Times New Roman"/>
          <w:bCs/>
          <w:sz w:val="28"/>
          <w:szCs w:val="28"/>
          <w:lang w:val="uk-UA" w:eastAsia="ru-RU"/>
        </w:rPr>
        <w:t>ці до нього</w:t>
      </w:r>
      <w:r w:rsidRPr="00065CD2">
        <w:rPr>
          <w:rFonts w:ascii="Times New Roman" w:eastAsia="Times New Roman" w:hAnsi="Times New Roman"/>
          <w:bCs/>
          <w:sz w:val="28"/>
          <w:szCs w:val="28"/>
          <w:lang w:val="uk-UA" w:eastAsia="ru-RU"/>
        </w:rPr>
        <w:t>, має на меті</w:t>
      </w:r>
      <w:r w:rsidRPr="00065CD2">
        <w:rPr>
          <w:rFonts w:ascii="Times New Roman" w:eastAsia="Times New Roman" w:hAnsi="Times New Roman"/>
          <w:sz w:val="28"/>
          <w:szCs w:val="28"/>
          <w:lang w:val="uk-UA"/>
        </w:rPr>
        <w:t xml:space="preserve"> </w:t>
      </w:r>
      <w:r w:rsidRPr="00065CD2">
        <w:rPr>
          <w:rFonts w:ascii="Times New Roman" w:eastAsia="Times New Roman" w:hAnsi="Times New Roman"/>
          <w:bCs/>
          <w:sz w:val="28"/>
          <w:szCs w:val="28"/>
          <w:lang w:val="uk-UA" w:eastAsia="ru-RU"/>
        </w:rPr>
        <w:t xml:space="preserve">законодавче </w:t>
      </w:r>
      <w:r w:rsidRPr="002D13C4">
        <w:rPr>
          <w:rFonts w:ascii="Times New Roman" w:eastAsia="Times New Roman" w:hAnsi="Times New Roman"/>
          <w:bCs/>
          <w:sz w:val="28"/>
          <w:szCs w:val="28"/>
          <w:lang w:val="uk-UA" w:eastAsia="ru-RU"/>
        </w:rPr>
        <w:t>врегулювання діяльності з накопичення енергії</w:t>
      </w:r>
      <w:r>
        <w:rPr>
          <w:rFonts w:ascii="Times New Roman" w:eastAsia="Times New Roman" w:hAnsi="Times New Roman"/>
          <w:bCs/>
          <w:sz w:val="28"/>
          <w:szCs w:val="28"/>
          <w:lang w:val="uk-UA" w:eastAsia="ru-RU"/>
        </w:rPr>
        <w:t>;</w:t>
      </w:r>
      <w:r w:rsidRPr="002D13C4">
        <w:rPr>
          <w:rFonts w:ascii="Times New Roman" w:eastAsia="Times New Roman" w:hAnsi="Times New Roman"/>
          <w:bCs/>
          <w:sz w:val="28"/>
          <w:szCs w:val="28"/>
          <w:lang w:val="uk-UA" w:eastAsia="ru-RU"/>
        </w:rPr>
        <w:t xml:space="preserve"> визначення статусу систем накопичення енергії </w:t>
      </w:r>
      <w:r w:rsidR="00D714FA">
        <w:rPr>
          <w:rFonts w:ascii="Times New Roman" w:eastAsia="Times New Roman" w:hAnsi="Times New Roman"/>
          <w:bCs/>
          <w:sz w:val="28"/>
          <w:szCs w:val="28"/>
          <w:lang w:val="uk-UA" w:eastAsia="ru-RU"/>
        </w:rPr>
        <w:t>(далі – СНЕ)</w:t>
      </w:r>
      <w:r w:rsidR="00D714FA" w:rsidRPr="00D714FA">
        <w:rPr>
          <w:rFonts w:ascii="Times New Roman" w:eastAsia="Times New Roman" w:hAnsi="Times New Roman"/>
          <w:bCs/>
          <w:sz w:val="28"/>
          <w:szCs w:val="28"/>
          <w:lang w:val="uk-UA" w:eastAsia="ru-RU"/>
        </w:rPr>
        <w:t xml:space="preserve"> </w:t>
      </w:r>
      <w:r w:rsidR="00D714FA" w:rsidRPr="002D13C4">
        <w:rPr>
          <w:rFonts w:ascii="Times New Roman" w:eastAsia="Times New Roman" w:hAnsi="Times New Roman"/>
          <w:bCs/>
          <w:sz w:val="28"/>
          <w:szCs w:val="28"/>
          <w:lang w:val="uk-UA" w:eastAsia="ru-RU"/>
        </w:rPr>
        <w:t>та операт</w:t>
      </w:r>
      <w:r w:rsidR="00D714FA">
        <w:rPr>
          <w:rFonts w:ascii="Times New Roman" w:eastAsia="Times New Roman" w:hAnsi="Times New Roman"/>
          <w:bCs/>
          <w:sz w:val="28"/>
          <w:szCs w:val="28"/>
          <w:lang w:val="uk-UA" w:eastAsia="ru-RU"/>
        </w:rPr>
        <w:t>ора СНЕ</w:t>
      </w:r>
      <w:r w:rsidR="00DD4BE7">
        <w:rPr>
          <w:rFonts w:ascii="Times New Roman" w:eastAsia="Times New Roman" w:hAnsi="Times New Roman"/>
          <w:bCs/>
          <w:sz w:val="28"/>
          <w:szCs w:val="28"/>
          <w:lang w:val="uk-UA" w:eastAsia="ru-RU"/>
        </w:rPr>
        <w:t>,</w:t>
      </w:r>
      <w:r w:rsidR="00D714FA">
        <w:rPr>
          <w:rFonts w:ascii="Times New Roman" w:eastAsia="Times New Roman" w:hAnsi="Times New Roman"/>
          <w:bCs/>
          <w:sz w:val="28"/>
          <w:szCs w:val="28"/>
          <w:lang w:val="uk-UA" w:eastAsia="ru-RU"/>
        </w:rPr>
        <w:t xml:space="preserve"> здійснення </w:t>
      </w:r>
      <w:r w:rsidR="00D714FA" w:rsidRPr="002D13C4">
        <w:rPr>
          <w:rFonts w:ascii="Times New Roman" w:eastAsia="Times New Roman" w:hAnsi="Times New Roman"/>
          <w:bCs/>
          <w:sz w:val="28"/>
          <w:szCs w:val="28"/>
          <w:lang w:val="uk-UA" w:eastAsia="ru-RU"/>
        </w:rPr>
        <w:t>купівлі-продажу електричної енергії за двосторонніми договорами</w:t>
      </w:r>
      <w:r w:rsidR="00D714FA">
        <w:rPr>
          <w:rFonts w:ascii="Times New Roman" w:eastAsia="Times New Roman" w:hAnsi="Times New Roman"/>
          <w:bCs/>
          <w:sz w:val="28"/>
          <w:szCs w:val="28"/>
          <w:lang w:val="uk-UA" w:eastAsia="ru-RU"/>
        </w:rPr>
        <w:t xml:space="preserve">, у тому числі на електронних аукціонах </w:t>
      </w:r>
      <w:r w:rsidRPr="002D13C4">
        <w:rPr>
          <w:rFonts w:ascii="Times New Roman" w:eastAsia="Times New Roman" w:hAnsi="Times New Roman"/>
          <w:bCs/>
          <w:sz w:val="28"/>
          <w:szCs w:val="28"/>
          <w:lang w:val="uk-UA" w:eastAsia="ru-RU"/>
        </w:rPr>
        <w:t>та запровадження розрахунків шляхом заліку взаємних фінансових зобов</w:t>
      </w:r>
      <w:r w:rsidR="00962ABE">
        <w:rPr>
          <w:rFonts w:ascii="Times New Roman" w:eastAsia="Times New Roman" w:hAnsi="Times New Roman"/>
          <w:bCs/>
          <w:sz w:val="28"/>
          <w:szCs w:val="28"/>
          <w:lang w:val="uk-UA" w:eastAsia="ru-RU"/>
        </w:rPr>
        <w:t>’</w:t>
      </w:r>
      <w:r w:rsidRPr="002D13C4">
        <w:rPr>
          <w:rFonts w:ascii="Times New Roman" w:eastAsia="Times New Roman" w:hAnsi="Times New Roman"/>
          <w:bCs/>
          <w:sz w:val="28"/>
          <w:szCs w:val="28"/>
          <w:lang w:val="uk-UA" w:eastAsia="ru-RU"/>
        </w:rPr>
        <w:t>язань</w:t>
      </w:r>
      <w:r w:rsidR="00F37528">
        <w:rPr>
          <w:rFonts w:ascii="Times New Roman" w:eastAsia="Times New Roman" w:hAnsi="Times New Roman"/>
          <w:bCs/>
          <w:sz w:val="28"/>
          <w:szCs w:val="28"/>
          <w:lang w:val="uk-UA" w:eastAsia="ru-RU"/>
        </w:rPr>
        <w:t xml:space="preserve"> </w:t>
      </w:r>
      <w:r w:rsidR="00F37528" w:rsidRPr="00D714FA">
        <w:rPr>
          <w:rFonts w:ascii="Times New Roman" w:eastAsia="Times New Roman" w:hAnsi="Times New Roman"/>
          <w:bCs/>
          <w:sz w:val="28"/>
          <w:szCs w:val="28"/>
          <w:lang w:val="uk-UA" w:eastAsia="ru-RU"/>
        </w:rPr>
        <w:t>/операції клірингу (неттінгу)/</w:t>
      </w:r>
      <w:r w:rsidRPr="00D714FA">
        <w:rPr>
          <w:rFonts w:ascii="Times New Roman" w:eastAsia="Times New Roman" w:hAnsi="Times New Roman"/>
          <w:bCs/>
          <w:sz w:val="28"/>
          <w:szCs w:val="28"/>
          <w:lang w:val="uk-UA" w:eastAsia="ru-RU"/>
        </w:rPr>
        <w:t>.</w:t>
      </w:r>
    </w:p>
    <w:p w:rsidR="00374E04" w:rsidRDefault="00374E04" w:rsidP="00374E04">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w:t>
      </w:r>
      <w:r w:rsidRPr="00065CD2">
        <w:rPr>
          <w:rFonts w:ascii="Times New Roman" w:eastAsia="Times New Roman" w:hAnsi="Times New Roman"/>
          <w:bCs/>
          <w:sz w:val="28"/>
          <w:szCs w:val="28"/>
          <w:lang w:val="uk-UA" w:eastAsia="ru-RU"/>
        </w:rPr>
        <w:t>аконопроект</w:t>
      </w:r>
      <w:r>
        <w:rPr>
          <w:rFonts w:ascii="Times New Roman" w:eastAsia="Times New Roman" w:hAnsi="Times New Roman"/>
          <w:bCs/>
          <w:sz w:val="28"/>
          <w:szCs w:val="28"/>
          <w:lang w:val="uk-UA" w:eastAsia="ru-RU"/>
        </w:rPr>
        <w:t>ом</w:t>
      </w:r>
      <w:r w:rsidRPr="00065CD2">
        <w:rPr>
          <w:rFonts w:ascii="Times New Roman" w:eastAsia="Times New Roman" w:hAnsi="Times New Roman"/>
          <w:bCs/>
          <w:sz w:val="28"/>
          <w:szCs w:val="28"/>
          <w:lang w:val="uk-UA" w:eastAsia="ru-RU"/>
        </w:rPr>
        <w:t xml:space="preserve"> розширюються повноваження Національної комісії, що здійснює державне регулювання у сферах енергетики та комунальних послуг (далі</w:t>
      </w:r>
      <w:r w:rsidR="00B82F0E">
        <w:rPr>
          <w:rFonts w:ascii="Times New Roman" w:eastAsia="Times New Roman" w:hAnsi="Times New Roman"/>
          <w:bCs/>
          <w:sz w:val="28"/>
          <w:szCs w:val="28"/>
          <w:lang w:val="uk-UA" w:eastAsia="ru-RU"/>
        </w:rPr>
        <w:t> </w:t>
      </w:r>
      <w:r w:rsidRPr="00065CD2">
        <w:rPr>
          <w:rFonts w:ascii="Times New Roman" w:eastAsia="Times New Roman" w:hAnsi="Times New Roman"/>
          <w:bCs/>
          <w:sz w:val="28"/>
          <w:szCs w:val="28"/>
          <w:lang w:val="uk-UA" w:eastAsia="ru-RU"/>
        </w:rPr>
        <w:t>–</w:t>
      </w:r>
      <w:r w:rsidR="00B82F0E">
        <w:rPr>
          <w:rFonts w:ascii="Times New Roman" w:eastAsia="Times New Roman" w:hAnsi="Times New Roman"/>
          <w:bCs/>
          <w:sz w:val="28"/>
          <w:szCs w:val="28"/>
          <w:lang w:val="uk-UA" w:eastAsia="ru-RU"/>
        </w:rPr>
        <w:t> </w:t>
      </w:r>
      <w:r w:rsidRPr="00065CD2">
        <w:rPr>
          <w:rFonts w:ascii="Times New Roman" w:eastAsia="Times New Roman" w:hAnsi="Times New Roman"/>
          <w:bCs/>
          <w:sz w:val="28"/>
          <w:szCs w:val="28"/>
          <w:lang w:val="uk-UA" w:eastAsia="ru-RU"/>
        </w:rPr>
        <w:t xml:space="preserve">Регулятор) на ринку електричної енергії, у першу чергу, </w:t>
      </w:r>
      <w:r w:rsidR="00B82F0E">
        <w:rPr>
          <w:rFonts w:ascii="Times New Roman" w:eastAsia="Times New Roman" w:hAnsi="Times New Roman"/>
          <w:bCs/>
          <w:sz w:val="28"/>
          <w:szCs w:val="28"/>
          <w:lang w:val="uk-UA" w:eastAsia="ru-RU"/>
        </w:rPr>
        <w:t>у</w:t>
      </w:r>
      <w:r w:rsidRPr="00065CD2">
        <w:rPr>
          <w:rFonts w:ascii="Times New Roman" w:eastAsia="Times New Roman" w:hAnsi="Times New Roman"/>
          <w:bCs/>
          <w:sz w:val="28"/>
          <w:szCs w:val="28"/>
          <w:lang w:val="uk-UA" w:eastAsia="ru-RU"/>
        </w:rPr>
        <w:t xml:space="preserve"> частині:</w:t>
      </w:r>
    </w:p>
    <w:p w:rsidR="00B82F0E" w:rsidRDefault="00B82F0E" w:rsidP="00374E04">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державного</w:t>
      </w:r>
      <w:r w:rsidRPr="00B82F0E">
        <w:rPr>
          <w:rFonts w:ascii="Times New Roman" w:eastAsia="Times New Roman" w:hAnsi="Times New Roman"/>
          <w:bCs/>
          <w:sz w:val="28"/>
          <w:szCs w:val="28"/>
          <w:lang w:val="uk-UA" w:eastAsia="ru-RU"/>
        </w:rPr>
        <w:t xml:space="preserve"> регулювання, моніторинг</w:t>
      </w:r>
      <w:r>
        <w:rPr>
          <w:rFonts w:ascii="Times New Roman" w:eastAsia="Times New Roman" w:hAnsi="Times New Roman"/>
          <w:bCs/>
          <w:sz w:val="28"/>
          <w:szCs w:val="28"/>
          <w:lang w:val="uk-UA" w:eastAsia="ru-RU"/>
        </w:rPr>
        <w:t>у</w:t>
      </w:r>
      <w:r w:rsidR="00962ABE">
        <w:rPr>
          <w:rFonts w:ascii="Times New Roman" w:eastAsia="Times New Roman" w:hAnsi="Times New Roman"/>
          <w:bCs/>
          <w:sz w:val="28"/>
          <w:szCs w:val="28"/>
          <w:lang w:val="uk-UA" w:eastAsia="ru-RU"/>
        </w:rPr>
        <w:t xml:space="preserve"> та контролю</w:t>
      </w:r>
      <w:r w:rsidRPr="00B82F0E">
        <w:rPr>
          <w:rFonts w:ascii="Times New Roman" w:eastAsia="Times New Roman" w:hAnsi="Times New Roman"/>
          <w:bCs/>
          <w:sz w:val="28"/>
          <w:szCs w:val="28"/>
          <w:lang w:val="uk-UA" w:eastAsia="ru-RU"/>
        </w:rPr>
        <w:t xml:space="preserve"> за діяльністю суб</w:t>
      </w:r>
      <w:r w:rsidR="00962ABE">
        <w:rPr>
          <w:rFonts w:ascii="Times New Roman" w:eastAsia="Times New Roman" w:hAnsi="Times New Roman"/>
          <w:bCs/>
          <w:sz w:val="28"/>
          <w:szCs w:val="28"/>
          <w:lang w:val="uk-UA" w:eastAsia="ru-RU"/>
        </w:rPr>
        <w:t>’</w:t>
      </w:r>
      <w:r w:rsidRPr="00B82F0E">
        <w:rPr>
          <w:rFonts w:ascii="Times New Roman" w:eastAsia="Times New Roman" w:hAnsi="Times New Roman"/>
          <w:bCs/>
          <w:sz w:val="28"/>
          <w:szCs w:val="28"/>
          <w:lang w:val="uk-UA" w:eastAsia="ru-RU"/>
        </w:rPr>
        <w:t>єктів господарювання</w:t>
      </w:r>
      <w:r>
        <w:rPr>
          <w:rFonts w:ascii="Times New Roman" w:eastAsia="Times New Roman" w:hAnsi="Times New Roman"/>
          <w:bCs/>
          <w:sz w:val="28"/>
          <w:szCs w:val="28"/>
          <w:lang w:val="uk-UA" w:eastAsia="ru-RU"/>
        </w:rPr>
        <w:t xml:space="preserve"> з накопичення енергії;</w:t>
      </w:r>
    </w:p>
    <w:p w:rsidR="00374E04" w:rsidRDefault="00374E04" w:rsidP="00374E04">
      <w:pPr>
        <w:spacing w:after="0" w:line="300" w:lineRule="auto"/>
        <w:ind w:left="142" w:firstLine="709"/>
        <w:jc w:val="both"/>
        <w:rPr>
          <w:rFonts w:ascii="Times New Roman" w:eastAsia="Times New Roman" w:hAnsi="Times New Roman"/>
          <w:bCs/>
          <w:sz w:val="28"/>
          <w:szCs w:val="28"/>
          <w:lang w:val="uk-UA" w:eastAsia="ru-RU"/>
        </w:rPr>
      </w:pPr>
      <w:r w:rsidRPr="00374E04">
        <w:rPr>
          <w:rFonts w:ascii="Times New Roman" w:eastAsia="Times New Roman" w:hAnsi="Times New Roman"/>
          <w:bCs/>
          <w:sz w:val="28"/>
          <w:szCs w:val="28"/>
          <w:lang w:val="uk-UA" w:eastAsia="ru-RU"/>
        </w:rPr>
        <w:t>розроб</w:t>
      </w:r>
      <w:r>
        <w:rPr>
          <w:rFonts w:ascii="Times New Roman" w:eastAsia="Times New Roman" w:hAnsi="Times New Roman"/>
          <w:bCs/>
          <w:sz w:val="28"/>
          <w:szCs w:val="28"/>
          <w:lang w:val="uk-UA" w:eastAsia="ru-RU"/>
        </w:rPr>
        <w:t>лення</w:t>
      </w:r>
      <w:r w:rsidRPr="00374E04">
        <w:rPr>
          <w:rFonts w:ascii="Times New Roman" w:eastAsia="Times New Roman" w:hAnsi="Times New Roman"/>
          <w:bCs/>
          <w:sz w:val="28"/>
          <w:szCs w:val="28"/>
          <w:lang w:val="uk-UA" w:eastAsia="ru-RU"/>
        </w:rPr>
        <w:t xml:space="preserve"> та затверд</w:t>
      </w:r>
      <w:r w:rsidR="00DD4BE7">
        <w:rPr>
          <w:rFonts w:ascii="Times New Roman" w:eastAsia="Times New Roman" w:hAnsi="Times New Roman"/>
          <w:bCs/>
          <w:sz w:val="28"/>
          <w:szCs w:val="28"/>
          <w:lang w:val="uk-UA" w:eastAsia="ru-RU"/>
        </w:rPr>
        <w:t>ження керівних принципів чи</w:t>
      </w:r>
      <w:r w:rsidR="00E6647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типового положення про закупівлі з метою </w:t>
      </w:r>
      <w:r w:rsidRPr="00374E04">
        <w:rPr>
          <w:rFonts w:ascii="Times New Roman" w:eastAsia="Times New Roman" w:hAnsi="Times New Roman"/>
          <w:bCs/>
          <w:sz w:val="28"/>
          <w:szCs w:val="28"/>
          <w:lang w:val="uk-UA" w:eastAsia="ru-RU"/>
        </w:rPr>
        <w:t>забезпеч</w:t>
      </w:r>
      <w:r>
        <w:rPr>
          <w:rFonts w:ascii="Times New Roman" w:eastAsia="Times New Roman" w:hAnsi="Times New Roman"/>
          <w:bCs/>
          <w:sz w:val="28"/>
          <w:szCs w:val="28"/>
          <w:lang w:val="uk-UA" w:eastAsia="ru-RU"/>
        </w:rPr>
        <w:t>ення справедливої тендерної процедури;</w:t>
      </w:r>
    </w:p>
    <w:p w:rsidR="00374E04" w:rsidRDefault="00374E04" w:rsidP="00374E04">
      <w:pPr>
        <w:spacing w:after="0" w:line="300" w:lineRule="auto"/>
        <w:ind w:left="142" w:firstLine="709"/>
        <w:jc w:val="both"/>
        <w:rPr>
          <w:rFonts w:ascii="Times New Roman" w:eastAsia="Times New Roman" w:hAnsi="Times New Roman"/>
          <w:bCs/>
          <w:sz w:val="28"/>
          <w:szCs w:val="28"/>
          <w:lang w:val="uk-UA" w:eastAsia="ru-RU"/>
        </w:rPr>
      </w:pPr>
      <w:r w:rsidRPr="00374E04">
        <w:rPr>
          <w:rFonts w:ascii="Times New Roman" w:eastAsia="Times New Roman" w:hAnsi="Times New Roman"/>
          <w:bCs/>
          <w:sz w:val="28"/>
          <w:szCs w:val="28"/>
          <w:lang w:val="uk-UA" w:eastAsia="ru-RU"/>
        </w:rPr>
        <w:t>забезпеч</w:t>
      </w:r>
      <w:r w:rsidR="004E162F">
        <w:rPr>
          <w:rFonts w:ascii="Times New Roman" w:eastAsia="Times New Roman" w:hAnsi="Times New Roman"/>
          <w:bCs/>
          <w:sz w:val="28"/>
          <w:szCs w:val="28"/>
          <w:lang w:val="uk-UA" w:eastAsia="ru-RU"/>
        </w:rPr>
        <w:t>ення</w:t>
      </w:r>
      <w:r w:rsidRPr="00374E04">
        <w:rPr>
          <w:rFonts w:ascii="Times New Roman" w:eastAsia="Times New Roman" w:hAnsi="Times New Roman"/>
          <w:bCs/>
          <w:sz w:val="28"/>
          <w:szCs w:val="28"/>
          <w:lang w:val="uk-UA" w:eastAsia="ru-RU"/>
        </w:rPr>
        <w:t xml:space="preserve"> на регулярній основі, або принаймні раз на п</w:t>
      </w:r>
      <w:r w:rsidR="00962ABE">
        <w:rPr>
          <w:rFonts w:ascii="Times New Roman" w:eastAsia="Times New Roman" w:hAnsi="Times New Roman"/>
          <w:bCs/>
          <w:sz w:val="28"/>
          <w:szCs w:val="28"/>
          <w:lang w:val="uk-UA" w:eastAsia="ru-RU"/>
        </w:rPr>
        <w:t>’</w:t>
      </w:r>
      <w:r w:rsidRPr="00374E04">
        <w:rPr>
          <w:rFonts w:ascii="Times New Roman" w:eastAsia="Times New Roman" w:hAnsi="Times New Roman"/>
          <w:bCs/>
          <w:sz w:val="28"/>
          <w:szCs w:val="28"/>
          <w:lang w:val="uk-UA" w:eastAsia="ru-RU"/>
        </w:rPr>
        <w:t>ять років, проведення публічних консультацій щодо існуючих СНЕ з метою оцінки потенційної наявності та зацікавленості інших сторін в інвестуванні у такі системи</w:t>
      </w:r>
      <w:r w:rsidR="004E162F">
        <w:rPr>
          <w:rFonts w:ascii="Times New Roman" w:eastAsia="Times New Roman" w:hAnsi="Times New Roman"/>
          <w:bCs/>
          <w:sz w:val="28"/>
          <w:szCs w:val="28"/>
          <w:lang w:val="uk-UA" w:eastAsia="ru-RU"/>
        </w:rPr>
        <w:t>;</w:t>
      </w:r>
    </w:p>
    <w:p w:rsidR="00374E04" w:rsidRDefault="00374E04" w:rsidP="002D13C4">
      <w:pPr>
        <w:spacing w:after="0" w:line="300" w:lineRule="auto"/>
        <w:ind w:left="142" w:firstLine="709"/>
        <w:jc w:val="both"/>
        <w:rPr>
          <w:rFonts w:ascii="Times New Roman" w:eastAsia="Times New Roman" w:hAnsi="Times New Roman"/>
          <w:bCs/>
          <w:sz w:val="28"/>
          <w:szCs w:val="28"/>
          <w:lang w:val="uk-UA" w:eastAsia="ru-RU"/>
        </w:rPr>
      </w:pPr>
      <w:r w:rsidRPr="00374E04">
        <w:rPr>
          <w:rFonts w:ascii="Times New Roman" w:eastAsia="Times New Roman" w:hAnsi="Times New Roman"/>
          <w:bCs/>
          <w:sz w:val="28"/>
          <w:szCs w:val="28"/>
          <w:lang w:val="uk-UA" w:eastAsia="ru-RU"/>
        </w:rPr>
        <w:t>ліцензування діяльності з накопичення енергії.</w:t>
      </w:r>
    </w:p>
    <w:p w:rsidR="00E72461" w:rsidRDefault="00B23382" w:rsidP="00D74D59">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Р</w:t>
      </w:r>
      <w:r w:rsidR="00E72461" w:rsidRPr="00214B05">
        <w:rPr>
          <w:rFonts w:ascii="Times New Roman" w:eastAsia="Times New Roman" w:hAnsi="Times New Roman"/>
          <w:bCs/>
          <w:sz w:val="28"/>
          <w:szCs w:val="28"/>
          <w:lang w:val="uk-UA" w:eastAsia="ru-RU"/>
        </w:rPr>
        <w:t>еалізація запропонов</w:t>
      </w:r>
      <w:r w:rsidR="00E72461">
        <w:rPr>
          <w:rFonts w:ascii="Times New Roman" w:eastAsia="Times New Roman" w:hAnsi="Times New Roman"/>
          <w:bCs/>
          <w:sz w:val="28"/>
          <w:szCs w:val="28"/>
          <w:lang w:val="uk-UA" w:eastAsia="ru-RU"/>
        </w:rPr>
        <w:t>аних вище положень законопроекту</w:t>
      </w:r>
      <w:r w:rsidR="00E72461" w:rsidRPr="00214B05">
        <w:rPr>
          <w:rFonts w:ascii="Times New Roman" w:eastAsia="Times New Roman" w:hAnsi="Times New Roman"/>
          <w:bCs/>
          <w:sz w:val="28"/>
          <w:szCs w:val="28"/>
          <w:lang w:val="uk-UA" w:eastAsia="ru-RU"/>
        </w:rPr>
        <w:t>, зокрема, щодо розширення повноважень Регулятора</w:t>
      </w:r>
      <w:r w:rsidR="00E72461">
        <w:rPr>
          <w:rFonts w:ascii="Times New Roman" w:eastAsia="Times New Roman" w:hAnsi="Times New Roman"/>
          <w:bCs/>
          <w:sz w:val="28"/>
          <w:szCs w:val="28"/>
          <w:lang w:val="uk-UA" w:eastAsia="ru-RU"/>
        </w:rPr>
        <w:t xml:space="preserve"> </w:t>
      </w:r>
      <w:r w:rsidR="00E72461" w:rsidRPr="00214B05">
        <w:rPr>
          <w:rFonts w:ascii="Times New Roman" w:eastAsia="Times New Roman" w:hAnsi="Times New Roman"/>
          <w:bCs/>
          <w:sz w:val="28"/>
          <w:szCs w:val="28"/>
          <w:lang w:val="uk-UA" w:eastAsia="ru-RU"/>
        </w:rPr>
        <w:t>призведе до збільшення відповідних видатків спеціального фонду державного бюджету, адже згідно зі статтею 11 Закону України «Про Національну комісію, що здійснює державне регулювання у сферах енергетики та комунальних послуг» фінансове забезпечення діяльності Регулятора, його центрального апарату і територіальних органів здійснюється за рахунок надходження до спеціального фонду державного бюджету внесків на регулювання, які сплачуються суб</w:t>
      </w:r>
      <w:r w:rsidR="00962ABE">
        <w:rPr>
          <w:rFonts w:ascii="Times New Roman" w:eastAsia="Times New Roman" w:hAnsi="Times New Roman"/>
          <w:bCs/>
          <w:sz w:val="28"/>
          <w:szCs w:val="28"/>
          <w:lang w:val="uk-UA" w:eastAsia="ru-RU"/>
        </w:rPr>
        <w:t>’</w:t>
      </w:r>
      <w:r w:rsidR="00E72461" w:rsidRPr="00214B05">
        <w:rPr>
          <w:rFonts w:ascii="Times New Roman" w:eastAsia="Times New Roman" w:hAnsi="Times New Roman"/>
          <w:bCs/>
          <w:sz w:val="28"/>
          <w:szCs w:val="28"/>
          <w:lang w:val="uk-UA" w:eastAsia="ru-RU"/>
        </w:rPr>
        <w:t>єктами господарювання, що провадять діяльність у сферах енергетики та комунальних послуг.</w:t>
      </w:r>
      <w:r w:rsidR="00E72461" w:rsidRPr="00D74D59">
        <w:rPr>
          <w:rFonts w:ascii="Times New Roman" w:eastAsia="Times New Roman" w:hAnsi="Times New Roman"/>
          <w:bCs/>
          <w:sz w:val="28"/>
          <w:szCs w:val="28"/>
          <w:lang w:val="uk-UA" w:eastAsia="ru-RU"/>
        </w:rPr>
        <w:t xml:space="preserve"> </w:t>
      </w:r>
      <w:r w:rsidR="00E72461">
        <w:rPr>
          <w:rFonts w:ascii="Times New Roman" w:eastAsia="Times New Roman" w:hAnsi="Times New Roman"/>
          <w:bCs/>
          <w:sz w:val="28"/>
          <w:szCs w:val="28"/>
          <w:lang w:val="uk-UA" w:eastAsia="ru-RU"/>
        </w:rPr>
        <w:t xml:space="preserve">Водночас, розширення </w:t>
      </w:r>
      <w:r w:rsidR="00E72461" w:rsidRPr="007E758D">
        <w:rPr>
          <w:rFonts w:ascii="Times New Roman" w:eastAsia="Times New Roman" w:hAnsi="Times New Roman"/>
          <w:bCs/>
          <w:sz w:val="28"/>
          <w:szCs w:val="28"/>
          <w:lang w:val="uk-UA" w:eastAsia="ru-RU"/>
        </w:rPr>
        <w:t>повноважень Регулятора</w:t>
      </w:r>
      <w:r w:rsidR="00E72461">
        <w:rPr>
          <w:rFonts w:ascii="Times New Roman" w:eastAsia="Times New Roman" w:hAnsi="Times New Roman"/>
          <w:bCs/>
          <w:sz w:val="28"/>
          <w:szCs w:val="28"/>
          <w:lang w:val="uk-UA" w:eastAsia="ru-RU"/>
        </w:rPr>
        <w:t xml:space="preserve"> може призвести до перегляду розмірів внесків на регулювання, що матиме наслідком</w:t>
      </w:r>
      <w:r w:rsidR="00E72461" w:rsidRPr="007E758D">
        <w:rPr>
          <w:rFonts w:ascii="Times New Roman" w:eastAsia="Times New Roman" w:hAnsi="Times New Roman"/>
          <w:bCs/>
          <w:sz w:val="28"/>
          <w:szCs w:val="28"/>
          <w:lang w:val="uk-UA" w:eastAsia="ru-RU"/>
        </w:rPr>
        <w:t xml:space="preserve"> змін</w:t>
      </w:r>
      <w:r w:rsidR="00E72461">
        <w:rPr>
          <w:rFonts w:ascii="Times New Roman" w:eastAsia="Times New Roman" w:hAnsi="Times New Roman"/>
          <w:bCs/>
          <w:sz w:val="28"/>
          <w:szCs w:val="28"/>
          <w:lang w:val="uk-UA" w:eastAsia="ru-RU"/>
        </w:rPr>
        <w:t>у</w:t>
      </w:r>
      <w:r w:rsidR="00E72461" w:rsidRPr="007E758D">
        <w:rPr>
          <w:rFonts w:ascii="Times New Roman" w:eastAsia="Times New Roman" w:hAnsi="Times New Roman"/>
          <w:bCs/>
          <w:sz w:val="28"/>
          <w:szCs w:val="28"/>
          <w:lang w:val="uk-UA" w:eastAsia="ru-RU"/>
        </w:rPr>
        <w:t xml:space="preserve"> фінансово-економічного стану та податкоспроможності </w:t>
      </w:r>
      <w:r w:rsidR="00E72461">
        <w:rPr>
          <w:rFonts w:ascii="Times New Roman" w:eastAsia="Times New Roman" w:hAnsi="Times New Roman"/>
          <w:bCs/>
          <w:sz w:val="28"/>
          <w:szCs w:val="28"/>
          <w:lang w:val="uk-UA" w:eastAsia="ru-RU"/>
        </w:rPr>
        <w:t>п</w:t>
      </w:r>
      <w:r w:rsidR="00E72461" w:rsidRPr="007E758D">
        <w:rPr>
          <w:rFonts w:ascii="Times New Roman" w:eastAsia="Times New Roman" w:hAnsi="Times New Roman"/>
          <w:bCs/>
          <w:sz w:val="28"/>
          <w:szCs w:val="28"/>
          <w:lang w:val="uk-UA" w:eastAsia="ru-RU"/>
        </w:rPr>
        <w:t>латник</w:t>
      </w:r>
      <w:r w:rsidR="00E72461">
        <w:rPr>
          <w:rFonts w:ascii="Times New Roman" w:eastAsia="Times New Roman" w:hAnsi="Times New Roman"/>
          <w:bCs/>
          <w:sz w:val="28"/>
          <w:szCs w:val="28"/>
          <w:lang w:val="uk-UA" w:eastAsia="ru-RU"/>
        </w:rPr>
        <w:t>ів</w:t>
      </w:r>
      <w:r w:rsidR="00E72461" w:rsidRPr="007E758D">
        <w:rPr>
          <w:rFonts w:ascii="Times New Roman" w:eastAsia="Times New Roman" w:hAnsi="Times New Roman"/>
          <w:bCs/>
          <w:sz w:val="28"/>
          <w:szCs w:val="28"/>
          <w:lang w:val="uk-UA" w:eastAsia="ru-RU"/>
        </w:rPr>
        <w:t xml:space="preserve"> </w:t>
      </w:r>
      <w:r w:rsidR="00E72461">
        <w:rPr>
          <w:rFonts w:ascii="Times New Roman" w:eastAsia="Times New Roman" w:hAnsi="Times New Roman"/>
          <w:bCs/>
          <w:sz w:val="28"/>
          <w:szCs w:val="28"/>
          <w:lang w:val="uk-UA" w:eastAsia="ru-RU"/>
        </w:rPr>
        <w:t xml:space="preserve">таких </w:t>
      </w:r>
      <w:r w:rsidR="00E72461" w:rsidRPr="007E758D">
        <w:rPr>
          <w:rFonts w:ascii="Times New Roman" w:eastAsia="Times New Roman" w:hAnsi="Times New Roman"/>
          <w:bCs/>
          <w:sz w:val="28"/>
          <w:szCs w:val="28"/>
          <w:lang w:val="uk-UA" w:eastAsia="ru-RU"/>
        </w:rPr>
        <w:t xml:space="preserve">внесків </w:t>
      </w:r>
      <w:r w:rsidR="00E72461">
        <w:rPr>
          <w:rFonts w:ascii="Times New Roman" w:eastAsia="Times New Roman" w:hAnsi="Times New Roman"/>
          <w:bCs/>
          <w:sz w:val="28"/>
          <w:szCs w:val="28"/>
          <w:lang w:val="uk-UA" w:eastAsia="ru-RU"/>
        </w:rPr>
        <w:t xml:space="preserve">– </w:t>
      </w:r>
      <w:r w:rsidR="00E72461" w:rsidRPr="007E758D">
        <w:rPr>
          <w:rFonts w:ascii="Times New Roman" w:eastAsia="Times New Roman" w:hAnsi="Times New Roman"/>
          <w:bCs/>
          <w:sz w:val="28"/>
          <w:szCs w:val="28"/>
          <w:lang w:val="uk-UA" w:eastAsia="ru-RU"/>
        </w:rPr>
        <w:t>суб</w:t>
      </w:r>
      <w:r w:rsidR="00962ABE">
        <w:rPr>
          <w:rFonts w:ascii="Times New Roman" w:eastAsia="Times New Roman" w:hAnsi="Times New Roman"/>
          <w:bCs/>
          <w:sz w:val="28"/>
          <w:szCs w:val="28"/>
          <w:lang w:val="uk-UA" w:eastAsia="ru-RU"/>
        </w:rPr>
        <w:t>’</w:t>
      </w:r>
      <w:r w:rsidR="00E72461" w:rsidRPr="007E758D">
        <w:rPr>
          <w:rFonts w:ascii="Times New Roman" w:eastAsia="Times New Roman" w:hAnsi="Times New Roman"/>
          <w:bCs/>
          <w:sz w:val="28"/>
          <w:szCs w:val="28"/>
          <w:lang w:val="uk-UA" w:eastAsia="ru-RU"/>
        </w:rPr>
        <w:t>єкт</w:t>
      </w:r>
      <w:r w:rsidR="00E72461">
        <w:rPr>
          <w:rFonts w:ascii="Times New Roman" w:eastAsia="Times New Roman" w:hAnsi="Times New Roman"/>
          <w:bCs/>
          <w:sz w:val="28"/>
          <w:szCs w:val="28"/>
          <w:lang w:val="uk-UA" w:eastAsia="ru-RU"/>
        </w:rPr>
        <w:t>ів</w:t>
      </w:r>
      <w:r w:rsidR="00E72461" w:rsidRPr="007E758D">
        <w:rPr>
          <w:rFonts w:ascii="Times New Roman" w:eastAsia="Times New Roman" w:hAnsi="Times New Roman"/>
          <w:bCs/>
          <w:sz w:val="28"/>
          <w:szCs w:val="28"/>
          <w:lang w:val="uk-UA" w:eastAsia="ru-RU"/>
        </w:rPr>
        <w:t xml:space="preserve"> господарювання, </w:t>
      </w:r>
      <w:r w:rsidR="00E66472">
        <w:rPr>
          <w:rFonts w:ascii="Times New Roman" w:eastAsia="Times New Roman" w:hAnsi="Times New Roman"/>
          <w:bCs/>
          <w:sz w:val="28"/>
          <w:szCs w:val="28"/>
          <w:lang w:val="uk-UA" w:eastAsia="ru-RU"/>
        </w:rPr>
        <w:t>які</w:t>
      </w:r>
      <w:r w:rsidR="00E72461" w:rsidRPr="007E758D">
        <w:rPr>
          <w:rFonts w:ascii="Times New Roman" w:eastAsia="Times New Roman" w:hAnsi="Times New Roman"/>
          <w:bCs/>
          <w:sz w:val="28"/>
          <w:szCs w:val="28"/>
          <w:lang w:val="uk-UA" w:eastAsia="ru-RU"/>
        </w:rPr>
        <w:t xml:space="preserve"> провадять діяльність у сферах енергетики</w:t>
      </w:r>
      <w:r w:rsidR="00E72461">
        <w:rPr>
          <w:rFonts w:ascii="Times New Roman" w:eastAsia="Times New Roman" w:hAnsi="Times New Roman"/>
          <w:bCs/>
          <w:sz w:val="28"/>
          <w:szCs w:val="28"/>
          <w:lang w:val="uk-UA" w:eastAsia="ru-RU"/>
        </w:rPr>
        <w:t xml:space="preserve">, що у результаті </w:t>
      </w:r>
      <w:r w:rsidR="00E72461" w:rsidRPr="007B61DB">
        <w:rPr>
          <w:rFonts w:ascii="Times New Roman" w:eastAsia="Times New Roman" w:hAnsi="Times New Roman"/>
          <w:bCs/>
          <w:sz w:val="28"/>
          <w:szCs w:val="28"/>
          <w:lang w:val="uk-UA" w:eastAsia="ru-RU"/>
        </w:rPr>
        <w:t xml:space="preserve">може впливати на сплату податків і зборів до державного і місцевих бюджетів </w:t>
      </w:r>
      <w:r w:rsidR="00E72461">
        <w:rPr>
          <w:rFonts w:ascii="Times New Roman" w:eastAsia="Times New Roman" w:hAnsi="Times New Roman"/>
          <w:bCs/>
          <w:sz w:val="28"/>
          <w:szCs w:val="28"/>
          <w:lang w:val="uk-UA" w:eastAsia="ru-RU"/>
        </w:rPr>
        <w:t>цими суб</w:t>
      </w:r>
      <w:r w:rsidR="00962ABE">
        <w:rPr>
          <w:rFonts w:ascii="Times New Roman" w:eastAsia="Times New Roman" w:hAnsi="Times New Roman"/>
          <w:bCs/>
          <w:sz w:val="28"/>
          <w:szCs w:val="28"/>
          <w:lang w:val="uk-UA" w:eastAsia="ru-RU"/>
        </w:rPr>
        <w:t>’</w:t>
      </w:r>
      <w:r w:rsidR="00E72461">
        <w:rPr>
          <w:rFonts w:ascii="Times New Roman" w:eastAsia="Times New Roman" w:hAnsi="Times New Roman"/>
          <w:bCs/>
          <w:sz w:val="28"/>
          <w:szCs w:val="28"/>
          <w:lang w:val="uk-UA" w:eastAsia="ru-RU"/>
        </w:rPr>
        <w:t>єктами господарювання</w:t>
      </w:r>
      <w:r w:rsidR="00E72461" w:rsidRPr="007B61DB">
        <w:rPr>
          <w:rFonts w:ascii="Times New Roman" w:eastAsia="Times New Roman" w:hAnsi="Times New Roman"/>
          <w:bCs/>
          <w:sz w:val="28"/>
          <w:szCs w:val="28"/>
          <w:lang w:val="uk-UA" w:eastAsia="ru-RU"/>
        </w:rPr>
        <w:t>.</w:t>
      </w:r>
    </w:p>
    <w:p w:rsidR="006C6193" w:rsidRDefault="006C6193" w:rsidP="00D74D59">
      <w:pPr>
        <w:spacing w:after="0" w:line="300" w:lineRule="auto"/>
        <w:ind w:firstLine="709"/>
        <w:jc w:val="both"/>
        <w:rPr>
          <w:rFonts w:ascii="Times New Roman" w:eastAsia="Times New Roman" w:hAnsi="Times New Roman"/>
          <w:bCs/>
          <w:i/>
          <w:sz w:val="28"/>
          <w:szCs w:val="28"/>
          <w:lang w:val="uk-UA" w:eastAsia="ru-RU"/>
        </w:rPr>
      </w:pPr>
      <w:r w:rsidRPr="0071744C">
        <w:rPr>
          <w:rFonts w:ascii="Times New Roman" w:eastAsia="Times New Roman" w:hAnsi="Times New Roman"/>
          <w:bCs/>
          <w:sz w:val="28"/>
          <w:szCs w:val="28"/>
          <w:lang w:val="uk-UA" w:eastAsia="ru-RU"/>
        </w:rPr>
        <w:t>У свою чергу,</w:t>
      </w:r>
      <w:r>
        <w:rPr>
          <w:rFonts w:ascii="Times New Roman" w:eastAsia="Times New Roman" w:hAnsi="Times New Roman"/>
          <w:bCs/>
          <w:sz w:val="28"/>
          <w:szCs w:val="28"/>
          <w:lang w:val="uk-UA" w:eastAsia="ru-RU"/>
        </w:rPr>
        <w:t xml:space="preserve"> пропоноване законопроектом </w:t>
      </w:r>
      <w:r w:rsidRPr="0071744C">
        <w:rPr>
          <w:rFonts w:ascii="Times New Roman" w:eastAsia="Times New Roman" w:hAnsi="Times New Roman"/>
          <w:bCs/>
          <w:sz w:val="28"/>
          <w:szCs w:val="28"/>
          <w:lang w:val="uk-UA" w:eastAsia="ru-RU"/>
        </w:rPr>
        <w:t>ліцензування діяльності з накопичення енергії</w:t>
      </w:r>
      <w:r>
        <w:rPr>
          <w:rFonts w:ascii="Times New Roman" w:eastAsia="Times New Roman" w:hAnsi="Times New Roman"/>
          <w:bCs/>
          <w:sz w:val="28"/>
          <w:szCs w:val="28"/>
          <w:lang w:val="uk-UA" w:eastAsia="ru-RU"/>
        </w:rPr>
        <w:t xml:space="preserve"> /</w:t>
      </w:r>
      <w:r w:rsidRPr="0071744C">
        <w:rPr>
          <w:rFonts w:ascii="Times New Roman" w:eastAsia="Times New Roman" w:hAnsi="Times New Roman"/>
          <w:bCs/>
          <w:i/>
          <w:sz w:val="28"/>
          <w:szCs w:val="28"/>
          <w:lang w:val="uk-UA" w:eastAsia="ru-RU"/>
        </w:rPr>
        <w:t>за умови</w:t>
      </w:r>
      <w:r>
        <w:rPr>
          <w:rFonts w:ascii="Times New Roman" w:eastAsia="Times New Roman" w:hAnsi="Times New Roman"/>
          <w:bCs/>
          <w:i/>
          <w:sz w:val="28"/>
          <w:szCs w:val="28"/>
          <w:lang w:val="uk-UA" w:eastAsia="ru-RU"/>
        </w:rPr>
        <w:t>,</w:t>
      </w:r>
      <w:r w:rsidRPr="0071744C">
        <w:rPr>
          <w:rFonts w:ascii="Times New Roman" w:eastAsia="Times New Roman" w:hAnsi="Times New Roman"/>
          <w:bCs/>
          <w:i/>
          <w:sz w:val="28"/>
          <w:szCs w:val="28"/>
          <w:lang w:val="uk-UA" w:eastAsia="ru-RU"/>
        </w:rPr>
        <w:t xml:space="preserve"> що величина </w:t>
      </w:r>
      <w:r w:rsidRPr="006C6193">
        <w:rPr>
          <w:rFonts w:ascii="Times New Roman" w:eastAsia="Times New Roman" w:hAnsi="Times New Roman"/>
          <w:bCs/>
          <w:i/>
          <w:sz w:val="28"/>
          <w:szCs w:val="28"/>
          <w:lang w:val="uk-UA" w:eastAsia="ru-RU"/>
        </w:rPr>
        <w:t xml:space="preserve">встановленої потужності </w:t>
      </w:r>
      <w:r>
        <w:rPr>
          <w:rFonts w:ascii="Times New Roman" w:eastAsia="Times New Roman" w:hAnsi="Times New Roman"/>
          <w:bCs/>
          <w:i/>
          <w:sz w:val="28"/>
          <w:szCs w:val="28"/>
          <w:lang w:val="uk-UA" w:eastAsia="ru-RU"/>
        </w:rPr>
        <w:t>СНЕ</w:t>
      </w:r>
      <w:r w:rsidRPr="006C6193">
        <w:rPr>
          <w:rFonts w:ascii="Times New Roman" w:eastAsia="Times New Roman" w:hAnsi="Times New Roman"/>
          <w:bCs/>
          <w:i/>
          <w:sz w:val="28"/>
          <w:szCs w:val="28"/>
          <w:lang w:val="uk-UA" w:eastAsia="ru-RU"/>
        </w:rPr>
        <w:t xml:space="preserve"> такого оператора перевищує граничний показник, визначений у відповідних ліцензійних умовах, затверджених Регулятором</w:t>
      </w:r>
      <w:r>
        <w:rPr>
          <w:rFonts w:ascii="Times New Roman" w:eastAsia="Times New Roman" w:hAnsi="Times New Roman"/>
          <w:bCs/>
          <w:i/>
          <w:sz w:val="28"/>
          <w:szCs w:val="28"/>
          <w:lang w:val="uk-UA" w:eastAsia="ru-RU"/>
        </w:rPr>
        <w:t xml:space="preserve">/ </w:t>
      </w:r>
      <w:r w:rsidRPr="0071744C">
        <w:rPr>
          <w:rFonts w:ascii="Times New Roman" w:eastAsia="Times New Roman" w:hAnsi="Times New Roman"/>
          <w:bCs/>
          <w:sz w:val="28"/>
          <w:szCs w:val="28"/>
          <w:lang w:val="uk-UA" w:eastAsia="ru-RU"/>
        </w:rPr>
        <w:t xml:space="preserve">призведе до збільшення доходів державного та </w:t>
      </w:r>
      <w:r>
        <w:rPr>
          <w:rFonts w:ascii="Times New Roman" w:eastAsia="Times New Roman" w:hAnsi="Times New Roman"/>
          <w:bCs/>
          <w:sz w:val="28"/>
          <w:szCs w:val="28"/>
          <w:lang w:val="uk-UA" w:eastAsia="ru-RU"/>
        </w:rPr>
        <w:t xml:space="preserve">місцевих бюджетів від </w:t>
      </w:r>
      <w:r w:rsidRPr="0071744C">
        <w:rPr>
          <w:rFonts w:ascii="Times New Roman" w:eastAsia="Times New Roman" w:hAnsi="Times New Roman"/>
          <w:bCs/>
          <w:sz w:val="28"/>
          <w:szCs w:val="28"/>
          <w:lang w:val="uk-UA" w:eastAsia="ru-RU"/>
        </w:rPr>
        <w:t xml:space="preserve">плати за видачу </w:t>
      </w:r>
      <w:r>
        <w:rPr>
          <w:rFonts w:ascii="Times New Roman" w:eastAsia="Times New Roman" w:hAnsi="Times New Roman"/>
          <w:bCs/>
          <w:sz w:val="28"/>
          <w:szCs w:val="28"/>
          <w:lang w:val="uk-UA" w:eastAsia="ru-RU"/>
        </w:rPr>
        <w:t xml:space="preserve">таких </w:t>
      </w:r>
      <w:r w:rsidRPr="0071744C">
        <w:rPr>
          <w:rFonts w:ascii="Times New Roman" w:eastAsia="Times New Roman" w:hAnsi="Times New Roman"/>
          <w:bCs/>
          <w:sz w:val="28"/>
          <w:szCs w:val="28"/>
          <w:lang w:val="uk-UA" w:eastAsia="ru-RU"/>
        </w:rPr>
        <w:t>ліцензій</w:t>
      </w:r>
      <w:r>
        <w:rPr>
          <w:rFonts w:ascii="Times New Roman" w:eastAsia="Times New Roman" w:hAnsi="Times New Roman"/>
          <w:bCs/>
          <w:sz w:val="28"/>
          <w:szCs w:val="28"/>
          <w:lang w:val="uk-UA" w:eastAsia="ru-RU"/>
        </w:rPr>
        <w:t xml:space="preserve">, </w:t>
      </w:r>
      <w:r w:rsidRPr="00E71545">
        <w:rPr>
          <w:rFonts w:ascii="Times New Roman" w:eastAsia="Times New Roman" w:hAnsi="Times New Roman"/>
          <w:bCs/>
          <w:sz w:val="28"/>
          <w:szCs w:val="28"/>
          <w:lang w:val="uk-UA" w:eastAsia="ru-RU"/>
        </w:rPr>
        <w:t>беручи до уваги вимоги Закону України «</w:t>
      </w:r>
      <w:r w:rsidRPr="00E71545">
        <w:rPr>
          <w:rFonts w:ascii="Times New Roman" w:eastAsia="Times New Roman" w:hAnsi="Times New Roman"/>
          <w:sz w:val="28"/>
          <w:szCs w:val="28"/>
          <w:lang w:val="uk-UA" w:eastAsia="ru-RU"/>
        </w:rPr>
        <w:t>Про ліцензування видів господарської діяльності</w:t>
      </w:r>
      <w:r w:rsidRPr="00E71545">
        <w:rPr>
          <w:rFonts w:ascii="Times New Roman" w:eastAsia="Times New Roman" w:hAnsi="Times New Roman"/>
          <w:bCs/>
          <w:sz w:val="28"/>
          <w:szCs w:val="28"/>
          <w:lang w:val="uk-UA" w:eastAsia="ru-RU"/>
        </w:rPr>
        <w:t>» та враховуючи полож</w:t>
      </w:r>
      <w:r>
        <w:rPr>
          <w:rFonts w:ascii="Times New Roman" w:eastAsia="Times New Roman" w:hAnsi="Times New Roman"/>
          <w:bCs/>
          <w:sz w:val="28"/>
          <w:szCs w:val="28"/>
          <w:lang w:val="uk-UA" w:eastAsia="ru-RU"/>
        </w:rPr>
        <w:t>ення Бюджетного кодексу України</w:t>
      </w:r>
      <w:r w:rsidRPr="00E71545">
        <w:rPr>
          <w:rFonts w:ascii="Times New Roman" w:eastAsia="Times New Roman" w:hAnsi="Times New Roman"/>
          <w:bCs/>
          <w:sz w:val="28"/>
          <w:szCs w:val="28"/>
          <w:lang w:val="uk-UA" w:eastAsia="ru-RU"/>
        </w:rPr>
        <w:t xml:space="preserve"> щодо зарахування тако</w:t>
      </w:r>
      <w:r>
        <w:rPr>
          <w:rFonts w:ascii="Times New Roman" w:eastAsia="Times New Roman" w:hAnsi="Times New Roman"/>
          <w:bCs/>
          <w:sz w:val="28"/>
          <w:szCs w:val="28"/>
          <w:lang w:val="uk-UA" w:eastAsia="ru-RU"/>
        </w:rPr>
        <w:t xml:space="preserve">ї плати </w:t>
      </w:r>
      <w:r w:rsidRPr="00E71545">
        <w:rPr>
          <w:rFonts w:ascii="Times New Roman" w:eastAsia="Times New Roman" w:hAnsi="Times New Roman"/>
          <w:bCs/>
          <w:sz w:val="28"/>
          <w:szCs w:val="28"/>
          <w:lang w:val="uk-UA" w:eastAsia="ru-RU"/>
        </w:rPr>
        <w:t>до державного або місцевих бюджетів</w:t>
      </w:r>
      <w:r>
        <w:rPr>
          <w:rFonts w:ascii="Times New Roman" w:eastAsia="Times New Roman" w:hAnsi="Times New Roman"/>
          <w:bCs/>
          <w:sz w:val="28"/>
          <w:szCs w:val="28"/>
          <w:lang w:val="uk-UA" w:eastAsia="ru-RU"/>
        </w:rPr>
        <w:t xml:space="preserve"> (</w:t>
      </w:r>
      <w:r w:rsidRPr="002030B3">
        <w:rPr>
          <w:rFonts w:ascii="Times New Roman" w:eastAsia="Times New Roman" w:hAnsi="Times New Roman"/>
          <w:bCs/>
          <w:i/>
          <w:sz w:val="28"/>
          <w:szCs w:val="28"/>
          <w:lang w:val="uk-UA" w:eastAsia="ru-RU"/>
        </w:rPr>
        <w:t xml:space="preserve">пункт </w:t>
      </w:r>
      <w:r>
        <w:rPr>
          <w:rFonts w:ascii="Times New Roman" w:eastAsia="Times New Roman" w:hAnsi="Times New Roman"/>
          <w:bCs/>
          <w:i/>
          <w:sz w:val="28"/>
          <w:szCs w:val="28"/>
          <w:lang w:val="uk-UA" w:eastAsia="ru-RU"/>
        </w:rPr>
        <w:t>25</w:t>
      </w:r>
      <w:r w:rsidRPr="002030B3">
        <w:rPr>
          <w:rFonts w:ascii="Times New Roman" w:eastAsia="Times New Roman" w:hAnsi="Times New Roman"/>
          <w:bCs/>
          <w:i/>
          <w:sz w:val="28"/>
          <w:szCs w:val="28"/>
          <w:lang w:val="uk-UA" w:eastAsia="ru-RU"/>
        </w:rPr>
        <w:t xml:space="preserve"> частини другої статті 29</w:t>
      </w:r>
      <w:r>
        <w:rPr>
          <w:rFonts w:ascii="Times New Roman" w:eastAsia="Times New Roman" w:hAnsi="Times New Roman"/>
          <w:bCs/>
          <w:i/>
          <w:sz w:val="28"/>
          <w:szCs w:val="28"/>
          <w:lang w:val="uk-UA" w:eastAsia="ru-RU"/>
        </w:rPr>
        <w:t xml:space="preserve">, пункти 21 і 22 частини першої статті 64 та пункт 2 частини першої статті 64-1, пункти 18 і 19 </w:t>
      </w:r>
      <w:r w:rsidRPr="00B27496">
        <w:rPr>
          <w:rFonts w:ascii="Times New Roman" w:eastAsia="Times New Roman" w:hAnsi="Times New Roman"/>
          <w:bCs/>
          <w:i/>
          <w:sz w:val="28"/>
          <w:szCs w:val="28"/>
          <w:lang w:val="uk-UA" w:eastAsia="ru-RU"/>
        </w:rPr>
        <w:t>частини першої статті 66</w:t>
      </w:r>
      <w:r>
        <w:rPr>
          <w:rFonts w:ascii="Times New Roman" w:eastAsia="Times New Roman" w:hAnsi="Times New Roman"/>
          <w:bCs/>
          <w:i/>
          <w:sz w:val="28"/>
          <w:szCs w:val="28"/>
          <w:lang w:val="uk-UA" w:eastAsia="ru-RU"/>
        </w:rPr>
        <w:t xml:space="preserve"> Бюджетного кодексу України).</w:t>
      </w:r>
    </w:p>
    <w:p w:rsidR="006C6193" w:rsidRDefault="006C6193" w:rsidP="00D74D59">
      <w:pPr>
        <w:spacing w:after="0" w:line="300" w:lineRule="auto"/>
        <w:ind w:firstLine="709"/>
        <w:jc w:val="both"/>
        <w:rPr>
          <w:rFonts w:ascii="Times New Roman" w:eastAsia="Times New Roman" w:hAnsi="Times New Roman"/>
          <w:bCs/>
          <w:sz w:val="28"/>
          <w:szCs w:val="28"/>
          <w:lang w:val="uk-UA" w:eastAsia="ru-RU"/>
        </w:rPr>
      </w:pPr>
      <w:r w:rsidRPr="006C6193">
        <w:rPr>
          <w:rFonts w:ascii="Times New Roman" w:eastAsia="Times New Roman" w:hAnsi="Times New Roman"/>
          <w:bCs/>
          <w:sz w:val="28"/>
          <w:szCs w:val="28"/>
          <w:lang w:val="uk-UA" w:eastAsia="ru-RU"/>
        </w:rPr>
        <w:t xml:space="preserve">Серед іншого, законопроектом </w:t>
      </w:r>
      <w:r>
        <w:rPr>
          <w:rFonts w:ascii="Times New Roman" w:eastAsia="Times New Roman" w:hAnsi="Times New Roman"/>
          <w:bCs/>
          <w:sz w:val="28"/>
          <w:szCs w:val="28"/>
          <w:lang w:val="uk-UA" w:eastAsia="ru-RU"/>
        </w:rPr>
        <w:t>з</w:t>
      </w:r>
      <w:r w:rsidRPr="006C6193">
        <w:rPr>
          <w:rFonts w:ascii="Times New Roman" w:eastAsia="Times New Roman" w:hAnsi="Times New Roman"/>
          <w:bCs/>
          <w:sz w:val="28"/>
          <w:szCs w:val="28"/>
          <w:lang w:val="uk-UA" w:eastAsia="ru-RU"/>
        </w:rPr>
        <w:t xml:space="preserve"> метою стимулювання </w:t>
      </w:r>
      <w:r w:rsidR="002C1392">
        <w:rPr>
          <w:rFonts w:ascii="Times New Roman" w:eastAsia="Times New Roman" w:hAnsi="Times New Roman"/>
          <w:bCs/>
          <w:sz w:val="28"/>
          <w:szCs w:val="28"/>
          <w:lang w:val="uk-UA" w:eastAsia="ru-RU"/>
        </w:rPr>
        <w:t>розвитку СНЕ в Україні</w:t>
      </w:r>
      <w:r w:rsidR="00F327A3" w:rsidRPr="00F327A3">
        <w:rPr>
          <w:rFonts w:ascii="Times New Roman" w:eastAsia="Times New Roman" w:hAnsi="Times New Roman"/>
          <w:bCs/>
          <w:sz w:val="28"/>
          <w:szCs w:val="28"/>
          <w:lang w:val="uk-UA" w:eastAsia="ru-RU"/>
        </w:rPr>
        <w:t xml:space="preserve"> </w:t>
      </w:r>
      <w:r w:rsidR="00F327A3">
        <w:rPr>
          <w:rFonts w:ascii="Times New Roman" w:eastAsia="Times New Roman" w:hAnsi="Times New Roman"/>
          <w:bCs/>
          <w:sz w:val="28"/>
          <w:szCs w:val="28"/>
          <w:lang w:val="uk-UA" w:eastAsia="ru-RU"/>
        </w:rPr>
        <w:t>пропонується</w:t>
      </w:r>
      <w:r w:rsidR="002C1392">
        <w:rPr>
          <w:rFonts w:ascii="Times New Roman" w:eastAsia="Times New Roman" w:hAnsi="Times New Roman"/>
          <w:bCs/>
          <w:sz w:val="28"/>
          <w:szCs w:val="28"/>
          <w:lang w:val="uk-UA" w:eastAsia="ru-RU"/>
        </w:rPr>
        <w:t xml:space="preserve"> операторів</w:t>
      </w:r>
      <w:r w:rsidRPr="006C6193">
        <w:rPr>
          <w:rFonts w:ascii="Times New Roman" w:eastAsia="Times New Roman" w:hAnsi="Times New Roman"/>
          <w:bCs/>
          <w:sz w:val="28"/>
          <w:szCs w:val="28"/>
          <w:lang w:val="uk-UA" w:eastAsia="ru-RU"/>
        </w:rPr>
        <w:t xml:space="preserve"> СНЕ, які ввели в експлуатацію СНЕ</w:t>
      </w:r>
      <w:r w:rsidR="007C4990">
        <w:rPr>
          <w:rFonts w:ascii="Times New Roman" w:eastAsia="Times New Roman" w:hAnsi="Times New Roman"/>
          <w:bCs/>
          <w:sz w:val="28"/>
          <w:szCs w:val="28"/>
          <w:lang w:val="uk-UA" w:eastAsia="ru-RU"/>
        </w:rPr>
        <w:t>,</w:t>
      </w:r>
      <w:r w:rsidRPr="006C6193">
        <w:rPr>
          <w:rFonts w:ascii="Times New Roman" w:eastAsia="Times New Roman" w:hAnsi="Times New Roman"/>
          <w:bCs/>
          <w:sz w:val="28"/>
          <w:szCs w:val="28"/>
          <w:lang w:val="uk-UA" w:eastAsia="ru-RU"/>
        </w:rPr>
        <w:t xml:space="preserve"> починаючи з 01.10.2021 року, звільн</w:t>
      </w:r>
      <w:r w:rsidR="002C1392">
        <w:rPr>
          <w:rFonts w:ascii="Times New Roman" w:eastAsia="Times New Roman" w:hAnsi="Times New Roman"/>
          <w:bCs/>
          <w:sz w:val="28"/>
          <w:szCs w:val="28"/>
          <w:lang w:val="uk-UA" w:eastAsia="ru-RU"/>
        </w:rPr>
        <w:t>ити</w:t>
      </w:r>
      <w:r w:rsidRPr="006C6193">
        <w:rPr>
          <w:rFonts w:ascii="Times New Roman" w:eastAsia="Times New Roman" w:hAnsi="Times New Roman"/>
          <w:bCs/>
          <w:sz w:val="28"/>
          <w:szCs w:val="28"/>
          <w:lang w:val="uk-UA" w:eastAsia="ru-RU"/>
        </w:rPr>
        <w:t xml:space="preserve"> від сплати за послуги з передачі електричної енергії, розподілу електричної енергії, диспетчерського (оперативно-технологічного) управління за обсяги спожитої та відпущеної такими СНЕ електричної енергії.</w:t>
      </w:r>
      <w:r w:rsidR="002C1392">
        <w:rPr>
          <w:rFonts w:ascii="Times New Roman" w:eastAsia="Times New Roman" w:hAnsi="Times New Roman"/>
          <w:bCs/>
          <w:sz w:val="28"/>
          <w:szCs w:val="28"/>
          <w:lang w:val="uk-UA" w:eastAsia="ru-RU"/>
        </w:rPr>
        <w:t xml:space="preserve"> Реалізація цих положень законопроекту</w:t>
      </w:r>
      <w:r w:rsidR="00A326C3">
        <w:rPr>
          <w:rFonts w:ascii="Times New Roman" w:eastAsia="Times New Roman" w:hAnsi="Times New Roman"/>
          <w:bCs/>
          <w:sz w:val="28"/>
          <w:szCs w:val="28"/>
          <w:lang w:val="uk-UA" w:eastAsia="ru-RU"/>
        </w:rPr>
        <w:t xml:space="preserve"> призведе до</w:t>
      </w:r>
      <w:r w:rsidR="002C1392">
        <w:rPr>
          <w:rFonts w:ascii="Times New Roman" w:eastAsia="Times New Roman" w:hAnsi="Times New Roman"/>
          <w:bCs/>
          <w:sz w:val="28"/>
          <w:szCs w:val="28"/>
          <w:lang w:val="uk-UA" w:eastAsia="ru-RU"/>
        </w:rPr>
        <w:t xml:space="preserve"> змін</w:t>
      </w:r>
      <w:r w:rsidR="00A326C3">
        <w:rPr>
          <w:rFonts w:ascii="Times New Roman" w:eastAsia="Times New Roman" w:hAnsi="Times New Roman"/>
          <w:bCs/>
          <w:sz w:val="28"/>
          <w:szCs w:val="28"/>
          <w:lang w:val="uk-UA" w:eastAsia="ru-RU"/>
        </w:rPr>
        <w:t>и</w:t>
      </w:r>
      <w:r w:rsidR="002C1392" w:rsidRPr="002C1392">
        <w:rPr>
          <w:rFonts w:ascii="Times New Roman" w:eastAsia="Times New Roman" w:hAnsi="Times New Roman"/>
          <w:bCs/>
          <w:sz w:val="28"/>
          <w:szCs w:val="28"/>
          <w:lang w:val="uk-UA" w:eastAsia="ru-RU"/>
        </w:rPr>
        <w:t xml:space="preserve"> фінансово-економічного стану та податкоспроможності оператора системи передачі – НЕК «Укренерго»</w:t>
      </w:r>
      <w:r w:rsidR="00A326C3">
        <w:rPr>
          <w:rFonts w:ascii="Times New Roman" w:eastAsia="Times New Roman" w:hAnsi="Times New Roman"/>
          <w:bCs/>
          <w:sz w:val="28"/>
          <w:szCs w:val="28"/>
          <w:lang w:val="uk-UA" w:eastAsia="ru-RU"/>
        </w:rPr>
        <w:t xml:space="preserve"> /</w:t>
      </w:r>
      <w:r w:rsidR="00A326C3" w:rsidRPr="00A326C3">
        <w:rPr>
          <w:rFonts w:ascii="Times New Roman" w:eastAsia="Times New Roman" w:hAnsi="Times New Roman"/>
          <w:bCs/>
          <w:i/>
          <w:sz w:val="28"/>
          <w:szCs w:val="28"/>
          <w:lang w:val="uk-UA" w:eastAsia="ru-RU"/>
        </w:rPr>
        <w:t>зважаючи на зменшення надходжень від вищезазначеної плати</w:t>
      </w:r>
      <w:r w:rsidR="00A326C3">
        <w:rPr>
          <w:rFonts w:ascii="Times New Roman" w:eastAsia="Times New Roman" w:hAnsi="Times New Roman"/>
          <w:bCs/>
          <w:sz w:val="28"/>
          <w:szCs w:val="28"/>
          <w:lang w:val="uk-UA" w:eastAsia="ru-RU"/>
        </w:rPr>
        <w:t>/</w:t>
      </w:r>
      <w:r w:rsidR="00A326C3" w:rsidRPr="002C1392">
        <w:rPr>
          <w:rFonts w:ascii="Times New Roman" w:eastAsia="Times New Roman" w:hAnsi="Times New Roman"/>
          <w:bCs/>
          <w:sz w:val="28"/>
          <w:szCs w:val="28"/>
          <w:lang w:val="uk-UA" w:eastAsia="ru-RU"/>
        </w:rPr>
        <w:t xml:space="preserve"> </w:t>
      </w:r>
      <w:r w:rsidR="002C1392" w:rsidRPr="002C1392">
        <w:rPr>
          <w:rFonts w:ascii="Times New Roman" w:eastAsia="Times New Roman" w:hAnsi="Times New Roman"/>
          <w:bCs/>
          <w:sz w:val="28"/>
          <w:szCs w:val="28"/>
          <w:lang w:val="uk-UA" w:eastAsia="ru-RU"/>
        </w:rPr>
        <w:t>і, як наслідок, може впливати на сплату податків і зборів до державного і місцевих б</w:t>
      </w:r>
      <w:r w:rsidR="008F61F4">
        <w:rPr>
          <w:rFonts w:ascii="Times New Roman" w:eastAsia="Times New Roman" w:hAnsi="Times New Roman"/>
          <w:bCs/>
          <w:sz w:val="28"/>
          <w:szCs w:val="28"/>
          <w:lang w:val="uk-UA" w:eastAsia="ru-RU"/>
        </w:rPr>
        <w:t>юджетів цією компанією. Крім того, вище зазначене</w:t>
      </w:r>
      <w:r w:rsidR="002C1392">
        <w:rPr>
          <w:rFonts w:ascii="Times New Roman" w:eastAsia="Times New Roman" w:hAnsi="Times New Roman"/>
          <w:bCs/>
          <w:sz w:val="28"/>
          <w:szCs w:val="28"/>
          <w:lang w:val="uk-UA" w:eastAsia="ru-RU"/>
        </w:rPr>
        <w:t xml:space="preserve"> </w:t>
      </w:r>
      <w:r w:rsidR="00A326C3">
        <w:rPr>
          <w:rFonts w:ascii="Times New Roman" w:eastAsia="Times New Roman" w:hAnsi="Times New Roman"/>
          <w:bCs/>
          <w:sz w:val="28"/>
          <w:szCs w:val="28"/>
          <w:lang w:val="uk-UA" w:eastAsia="ru-RU"/>
        </w:rPr>
        <w:t xml:space="preserve">може </w:t>
      </w:r>
      <w:r w:rsidR="007C4990">
        <w:rPr>
          <w:rFonts w:ascii="Times New Roman" w:eastAsia="Times New Roman" w:hAnsi="Times New Roman"/>
          <w:bCs/>
          <w:sz w:val="28"/>
          <w:szCs w:val="28"/>
          <w:lang w:val="uk-UA" w:eastAsia="ru-RU"/>
        </w:rPr>
        <w:t>зумовити збільшення</w:t>
      </w:r>
      <w:r w:rsidR="002C1392">
        <w:rPr>
          <w:rFonts w:ascii="Times New Roman" w:eastAsia="Times New Roman" w:hAnsi="Times New Roman"/>
          <w:bCs/>
          <w:sz w:val="28"/>
          <w:szCs w:val="28"/>
          <w:lang w:val="uk-UA" w:eastAsia="ru-RU"/>
        </w:rPr>
        <w:t xml:space="preserve"> тарифів на електричну енергію для споживачів</w:t>
      </w:r>
      <w:r w:rsidR="008F61F4">
        <w:rPr>
          <w:rFonts w:ascii="Times New Roman" w:eastAsia="Times New Roman" w:hAnsi="Times New Roman"/>
          <w:bCs/>
          <w:sz w:val="28"/>
          <w:szCs w:val="28"/>
          <w:lang w:val="uk-UA" w:eastAsia="ru-RU"/>
        </w:rPr>
        <w:t xml:space="preserve">, що </w:t>
      </w:r>
      <w:r w:rsidR="002C1392" w:rsidRPr="002C1392">
        <w:rPr>
          <w:rFonts w:ascii="Times New Roman" w:eastAsia="Times New Roman" w:hAnsi="Times New Roman"/>
          <w:bCs/>
          <w:sz w:val="28"/>
          <w:szCs w:val="28"/>
          <w:lang w:val="uk-UA" w:eastAsia="ru-RU"/>
        </w:rPr>
        <w:t xml:space="preserve">впливатиме на обсяг видатків державного та місцевих бюджетів у частині сплати споживання електричної енергії бюджетними </w:t>
      </w:r>
      <w:r w:rsidR="002C1392" w:rsidRPr="002C1392">
        <w:rPr>
          <w:rFonts w:ascii="Times New Roman" w:eastAsia="Times New Roman" w:hAnsi="Times New Roman"/>
          <w:bCs/>
          <w:sz w:val="28"/>
          <w:szCs w:val="28"/>
          <w:lang w:val="uk-UA" w:eastAsia="ru-RU"/>
        </w:rPr>
        <w:lastRenderedPageBreak/>
        <w:t>установами та на виплату пільг і житлових субсидій громадянам на оплату житлово-комунальних послуг. Аналогічну думку висловлює і Міністерство фінансів України (далі – Мінфін) у своєму експер</w:t>
      </w:r>
      <w:r w:rsidR="002C1392">
        <w:rPr>
          <w:rFonts w:ascii="Times New Roman" w:eastAsia="Times New Roman" w:hAnsi="Times New Roman"/>
          <w:bCs/>
          <w:sz w:val="28"/>
          <w:szCs w:val="28"/>
          <w:lang w:val="uk-UA" w:eastAsia="ru-RU"/>
        </w:rPr>
        <w:t>тному висновку до законопроекту</w:t>
      </w:r>
      <w:r w:rsidR="000672B6">
        <w:rPr>
          <w:rFonts w:ascii="Times New Roman" w:eastAsia="Times New Roman" w:hAnsi="Times New Roman"/>
          <w:bCs/>
          <w:sz w:val="28"/>
          <w:szCs w:val="28"/>
          <w:lang w:val="uk-UA" w:eastAsia="ru-RU"/>
        </w:rPr>
        <w:t xml:space="preserve"> (</w:t>
      </w:r>
      <w:r w:rsidR="000672B6" w:rsidRPr="000672B6">
        <w:rPr>
          <w:rFonts w:ascii="Times New Roman" w:eastAsia="Times New Roman" w:hAnsi="Times New Roman"/>
          <w:bCs/>
          <w:i/>
          <w:sz w:val="28"/>
          <w:szCs w:val="28"/>
          <w:lang w:val="uk-UA" w:eastAsia="ru-RU"/>
        </w:rPr>
        <w:t>копія додається</w:t>
      </w:r>
      <w:r w:rsidR="000672B6">
        <w:rPr>
          <w:rFonts w:ascii="Times New Roman" w:eastAsia="Times New Roman" w:hAnsi="Times New Roman"/>
          <w:bCs/>
          <w:sz w:val="28"/>
          <w:szCs w:val="28"/>
          <w:lang w:val="uk-UA" w:eastAsia="ru-RU"/>
        </w:rPr>
        <w:t>)</w:t>
      </w:r>
      <w:r w:rsidR="002C1392">
        <w:rPr>
          <w:rFonts w:ascii="Times New Roman" w:eastAsia="Times New Roman" w:hAnsi="Times New Roman"/>
          <w:bCs/>
          <w:sz w:val="28"/>
          <w:szCs w:val="28"/>
          <w:lang w:val="uk-UA" w:eastAsia="ru-RU"/>
        </w:rPr>
        <w:t xml:space="preserve"> та </w:t>
      </w:r>
      <w:r w:rsidR="00A326C3">
        <w:rPr>
          <w:rFonts w:ascii="Times New Roman" w:eastAsia="Times New Roman" w:hAnsi="Times New Roman"/>
          <w:bCs/>
          <w:sz w:val="28"/>
          <w:szCs w:val="28"/>
          <w:lang w:val="uk-UA" w:eastAsia="ru-RU"/>
        </w:rPr>
        <w:t>зазначає</w:t>
      </w:r>
      <w:r w:rsidR="002C1392">
        <w:rPr>
          <w:rFonts w:ascii="Times New Roman" w:eastAsia="Times New Roman" w:hAnsi="Times New Roman"/>
          <w:bCs/>
          <w:sz w:val="28"/>
          <w:szCs w:val="28"/>
          <w:lang w:val="uk-UA" w:eastAsia="ru-RU"/>
        </w:rPr>
        <w:t xml:space="preserve"> про непідтримку норм законопроекту щодо звільнення операторів СНЕ від </w:t>
      </w:r>
      <w:r w:rsidR="002C1392" w:rsidRPr="002C1392">
        <w:rPr>
          <w:rFonts w:ascii="Times New Roman" w:eastAsia="Times New Roman" w:hAnsi="Times New Roman"/>
          <w:bCs/>
          <w:sz w:val="28"/>
          <w:szCs w:val="28"/>
          <w:lang w:val="uk-UA" w:eastAsia="ru-RU"/>
        </w:rPr>
        <w:t>сплати за послуги з передачі та диспетчерськ</w:t>
      </w:r>
      <w:r w:rsidR="002C1392">
        <w:rPr>
          <w:rFonts w:ascii="Times New Roman" w:eastAsia="Times New Roman" w:hAnsi="Times New Roman"/>
          <w:bCs/>
          <w:sz w:val="28"/>
          <w:szCs w:val="28"/>
          <w:lang w:val="uk-UA" w:eastAsia="ru-RU"/>
        </w:rPr>
        <w:t xml:space="preserve">ого (оперативно-технологічного) </w:t>
      </w:r>
      <w:r w:rsidR="002C1392" w:rsidRPr="002C1392">
        <w:rPr>
          <w:rFonts w:ascii="Times New Roman" w:eastAsia="Times New Roman" w:hAnsi="Times New Roman"/>
          <w:bCs/>
          <w:sz w:val="28"/>
          <w:szCs w:val="28"/>
          <w:lang w:val="uk-UA" w:eastAsia="ru-RU"/>
        </w:rPr>
        <w:t>управління електричної енергії</w:t>
      </w:r>
      <w:r w:rsidR="002C1392">
        <w:rPr>
          <w:rFonts w:ascii="Times New Roman" w:eastAsia="Times New Roman" w:hAnsi="Times New Roman"/>
          <w:bCs/>
          <w:sz w:val="28"/>
          <w:szCs w:val="28"/>
          <w:lang w:val="uk-UA" w:eastAsia="ru-RU"/>
        </w:rPr>
        <w:t>.</w:t>
      </w:r>
    </w:p>
    <w:p w:rsidR="005441D3" w:rsidRDefault="00D74D59" w:rsidP="005441D3">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Також </w:t>
      </w:r>
      <w:r w:rsidRPr="00E30FE8">
        <w:rPr>
          <w:rFonts w:ascii="Times New Roman" w:eastAsia="Times New Roman" w:hAnsi="Times New Roman"/>
          <w:bCs/>
          <w:sz w:val="28"/>
          <w:szCs w:val="28"/>
          <w:lang w:val="uk-UA" w:eastAsia="ru-RU"/>
        </w:rPr>
        <w:t>законопроектом пропонується</w:t>
      </w:r>
      <w:r>
        <w:rPr>
          <w:rFonts w:ascii="Times New Roman" w:eastAsia="Times New Roman" w:hAnsi="Times New Roman"/>
          <w:bCs/>
          <w:sz w:val="28"/>
          <w:szCs w:val="28"/>
          <w:lang w:val="uk-UA" w:eastAsia="ru-RU"/>
        </w:rPr>
        <w:t xml:space="preserve"> </w:t>
      </w:r>
      <w:r w:rsidRPr="00D74D59">
        <w:rPr>
          <w:rFonts w:ascii="Times New Roman" w:eastAsia="Times New Roman" w:hAnsi="Times New Roman"/>
          <w:bCs/>
          <w:sz w:val="28"/>
          <w:szCs w:val="28"/>
          <w:lang w:val="uk-UA" w:eastAsia="ru-RU"/>
        </w:rPr>
        <w:t>запровадити електронні аукціони з ку</w:t>
      </w:r>
      <w:r>
        <w:rPr>
          <w:rFonts w:ascii="Times New Roman" w:eastAsia="Times New Roman" w:hAnsi="Times New Roman"/>
          <w:bCs/>
          <w:sz w:val="28"/>
          <w:szCs w:val="28"/>
          <w:lang w:val="uk-UA" w:eastAsia="ru-RU"/>
        </w:rPr>
        <w:t>півлі-</w:t>
      </w:r>
      <w:r w:rsidR="007A368F">
        <w:rPr>
          <w:rFonts w:ascii="Times New Roman" w:eastAsia="Times New Roman" w:hAnsi="Times New Roman"/>
          <w:bCs/>
          <w:sz w:val="28"/>
          <w:szCs w:val="28"/>
          <w:lang w:val="uk-UA" w:eastAsia="ru-RU"/>
        </w:rPr>
        <w:t xml:space="preserve">продажу </w:t>
      </w:r>
      <w:r w:rsidRPr="00D74D59">
        <w:rPr>
          <w:rFonts w:ascii="Times New Roman" w:eastAsia="Times New Roman" w:hAnsi="Times New Roman"/>
          <w:bCs/>
          <w:sz w:val="28"/>
          <w:szCs w:val="28"/>
          <w:lang w:val="uk-UA" w:eastAsia="ru-RU"/>
        </w:rPr>
        <w:t>електричної енергії за двосторонніми договорами, зокрема створивши на</w:t>
      </w:r>
      <w:r>
        <w:rPr>
          <w:rFonts w:ascii="Times New Roman" w:eastAsia="Times New Roman" w:hAnsi="Times New Roman"/>
          <w:bCs/>
          <w:sz w:val="28"/>
          <w:szCs w:val="28"/>
          <w:lang w:val="uk-UA" w:eastAsia="ru-RU"/>
        </w:rPr>
        <w:t xml:space="preserve"> </w:t>
      </w:r>
      <w:r w:rsidRPr="00D74D59">
        <w:rPr>
          <w:rFonts w:ascii="Times New Roman" w:eastAsia="Times New Roman" w:hAnsi="Times New Roman"/>
          <w:bCs/>
          <w:sz w:val="28"/>
          <w:szCs w:val="28"/>
          <w:lang w:val="uk-UA" w:eastAsia="ru-RU"/>
        </w:rPr>
        <w:t>базі оператора ринку (</w:t>
      </w:r>
      <w:r w:rsidRPr="00D74D59">
        <w:rPr>
          <w:rFonts w:ascii="Times New Roman" w:eastAsia="Times New Roman" w:hAnsi="Times New Roman"/>
          <w:bCs/>
          <w:i/>
          <w:sz w:val="28"/>
          <w:szCs w:val="28"/>
          <w:lang w:val="uk-UA" w:eastAsia="ru-RU"/>
        </w:rPr>
        <w:t>ДП «Оператор ринку»</w:t>
      </w:r>
      <w:r w:rsidRPr="00D74D59">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організований майданчик для їх </w:t>
      </w:r>
      <w:r w:rsidRPr="00D74D59">
        <w:rPr>
          <w:rFonts w:ascii="Times New Roman" w:eastAsia="Times New Roman" w:hAnsi="Times New Roman"/>
          <w:bCs/>
          <w:sz w:val="28"/>
          <w:szCs w:val="28"/>
          <w:lang w:val="uk-UA" w:eastAsia="ru-RU"/>
        </w:rPr>
        <w:t>проведення.</w:t>
      </w:r>
      <w:r w:rsidRPr="00D74D59">
        <w:t xml:space="preserve"> </w:t>
      </w:r>
      <w:r w:rsidRPr="00D74D59">
        <w:rPr>
          <w:rFonts w:ascii="Times New Roman" w:eastAsia="Times New Roman" w:hAnsi="Times New Roman"/>
          <w:bCs/>
          <w:sz w:val="28"/>
          <w:szCs w:val="28"/>
          <w:lang w:val="uk-UA" w:eastAsia="ru-RU"/>
        </w:rPr>
        <w:t xml:space="preserve">Проте, </w:t>
      </w:r>
      <w:r w:rsidR="00F7294E">
        <w:rPr>
          <w:rFonts w:ascii="Times New Roman" w:eastAsia="Times New Roman" w:hAnsi="Times New Roman"/>
          <w:bCs/>
          <w:sz w:val="28"/>
          <w:szCs w:val="28"/>
          <w:lang w:val="uk-UA" w:eastAsia="ru-RU"/>
        </w:rPr>
        <w:t>беручи до уваги Статут</w:t>
      </w:r>
      <w:r w:rsidR="00F7294E" w:rsidRPr="00F7294E">
        <w:rPr>
          <w:rFonts w:ascii="Times New Roman" w:eastAsia="Times New Roman" w:hAnsi="Times New Roman"/>
          <w:bCs/>
          <w:sz w:val="28"/>
          <w:szCs w:val="28"/>
          <w:lang w:val="uk-UA" w:eastAsia="ru-RU"/>
        </w:rPr>
        <w:t xml:space="preserve"> </w:t>
      </w:r>
      <w:r w:rsidR="00F7294E">
        <w:rPr>
          <w:rFonts w:ascii="Times New Roman" w:eastAsia="Times New Roman" w:hAnsi="Times New Roman"/>
          <w:bCs/>
          <w:sz w:val="28"/>
          <w:szCs w:val="28"/>
          <w:lang w:val="uk-UA" w:eastAsia="ru-RU"/>
        </w:rPr>
        <w:t xml:space="preserve">ДП «Оператор </w:t>
      </w:r>
      <w:r w:rsidR="00F7294E" w:rsidRPr="00F7294E">
        <w:rPr>
          <w:rFonts w:ascii="Times New Roman" w:eastAsia="Times New Roman" w:hAnsi="Times New Roman"/>
          <w:bCs/>
          <w:sz w:val="28"/>
          <w:szCs w:val="28"/>
          <w:lang w:val="uk-UA" w:eastAsia="ru-RU"/>
        </w:rPr>
        <w:t>ринку</w:t>
      </w:r>
      <w:r w:rsidR="00F7294E">
        <w:rPr>
          <w:rFonts w:ascii="Times New Roman" w:eastAsia="Times New Roman" w:hAnsi="Times New Roman"/>
          <w:bCs/>
          <w:sz w:val="28"/>
          <w:szCs w:val="28"/>
          <w:lang w:val="uk-UA" w:eastAsia="ru-RU"/>
        </w:rPr>
        <w:t xml:space="preserve">», затверджений </w:t>
      </w:r>
      <w:r w:rsidR="00F7294E" w:rsidRPr="00F7294E">
        <w:rPr>
          <w:rFonts w:ascii="Times New Roman" w:eastAsia="Times New Roman" w:hAnsi="Times New Roman"/>
          <w:bCs/>
          <w:sz w:val="28"/>
          <w:szCs w:val="28"/>
          <w:lang w:val="uk-UA" w:eastAsia="ru-RU"/>
        </w:rPr>
        <w:t xml:space="preserve">постановою </w:t>
      </w:r>
      <w:r w:rsidR="00F7294E">
        <w:rPr>
          <w:rFonts w:ascii="Times New Roman" w:eastAsia="Times New Roman" w:hAnsi="Times New Roman"/>
          <w:bCs/>
          <w:sz w:val="28"/>
          <w:szCs w:val="28"/>
          <w:lang w:val="uk-UA" w:eastAsia="ru-RU"/>
        </w:rPr>
        <w:t>Уряду від 22.05.2019</w:t>
      </w:r>
      <w:r w:rsidR="00F7294E" w:rsidRPr="00F7294E">
        <w:rPr>
          <w:rFonts w:ascii="Times New Roman" w:eastAsia="Times New Roman" w:hAnsi="Times New Roman"/>
          <w:bCs/>
          <w:sz w:val="28"/>
          <w:szCs w:val="28"/>
          <w:lang w:val="uk-UA" w:eastAsia="ru-RU"/>
        </w:rPr>
        <w:t xml:space="preserve"> </w:t>
      </w:r>
      <w:r w:rsidR="00F7294E">
        <w:rPr>
          <w:rFonts w:ascii="Times New Roman" w:eastAsia="Times New Roman" w:hAnsi="Times New Roman"/>
          <w:bCs/>
          <w:sz w:val="28"/>
          <w:szCs w:val="28"/>
          <w:lang w:val="uk-UA" w:eastAsia="ru-RU"/>
        </w:rPr>
        <w:t xml:space="preserve">№ 454, </w:t>
      </w:r>
      <w:r w:rsidR="00F7294E" w:rsidRPr="00F7294E">
        <w:rPr>
          <w:rFonts w:ascii="Times New Roman" w:eastAsia="Times New Roman" w:hAnsi="Times New Roman"/>
          <w:bCs/>
          <w:sz w:val="28"/>
          <w:szCs w:val="28"/>
          <w:lang w:val="uk-UA" w:eastAsia="ru-RU"/>
        </w:rPr>
        <w:t>вимоги Закону України «Про ринок електричної енергії»</w:t>
      </w:r>
      <w:r w:rsidR="008F61F4">
        <w:rPr>
          <w:rFonts w:ascii="Times New Roman" w:eastAsia="Times New Roman" w:hAnsi="Times New Roman"/>
          <w:bCs/>
          <w:sz w:val="28"/>
          <w:szCs w:val="28"/>
          <w:lang w:val="uk-UA" w:eastAsia="ru-RU"/>
        </w:rPr>
        <w:t>, а</w:t>
      </w:r>
      <w:r w:rsidR="00F7294E" w:rsidRPr="00F7294E">
        <w:rPr>
          <w:rFonts w:ascii="Times New Roman" w:eastAsia="Times New Roman" w:hAnsi="Times New Roman"/>
          <w:bCs/>
          <w:sz w:val="28"/>
          <w:szCs w:val="28"/>
          <w:lang w:val="uk-UA" w:eastAsia="ru-RU"/>
        </w:rPr>
        <w:t xml:space="preserve"> та</w:t>
      </w:r>
      <w:r w:rsidR="008F61F4">
        <w:rPr>
          <w:rFonts w:ascii="Times New Roman" w:eastAsia="Times New Roman" w:hAnsi="Times New Roman"/>
          <w:bCs/>
          <w:sz w:val="28"/>
          <w:szCs w:val="28"/>
          <w:lang w:val="uk-UA" w:eastAsia="ru-RU"/>
        </w:rPr>
        <w:t>кож</w:t>
      </w:r>
      <w:r w:rsidR="00F7294E" w:rsidRPr="00F7294E">
        <w:rPr>
          <w:rFonts w:ascii="Times New Roman" w:eastAsia="Times New Roman" w:hAnsi="Times New Roman"/>
          <w:bCs/>
          <w:sz w:val="28"/>
          <w:szCs w:val="28"/>
          <w:lang w:val="uk-UA" w:eastAsia="ru-RU"/>
        </w:rPr>
        <w:t xml:space="preserve"> положення Порядку проведення електронних аукціонів з продажу електричної енергії за двосторонніми договорами та Порядку відбору організаторів електронних аукціонів з продажу електричної енергії за двосторонніми договорами, затверджених постановою Уряду від 05.06.2019 № 499</w:t>
      </w:r>
      <w:r w:rsidR="00F7294E">
        <w:rPr>
          <w:rFonts w:ascii="Times New Roman" w:eastAsia="Times New Roman" w:hAnsi="Times New Roman"/>
          <w:bCs/>
          <w:sz w:val="28"/>
          <w:szCs w:val="28"/>
          <w:lang w:val="uk-UA" w:eastAsia="ru-RU"/>
        </w:rPr>
        <w:t xml:space="preserve">, </w:t>
      </w:r>
      <w:r w:rsidR="00F7294E" w:rsidRPr="00D74D59">
        <w:rPr>
          <w:rFonts w:ascii="Times New Roman" w:eastAsia="Times New Roman" w:hAnsi="Times New Roman"/>
          <w:bCs/>
          <w:sz w:val="28"/>
          <w:szCs w:val="28"/>
          <w:lang w:val="uk-UA" w:eastAsia="ru-RU"/>
        </w:rPr>
        <w:t>організац</w:t>
      </w:r>
      <w:r w:rsidR="00F7294E">
        <w:rPr>
          <w:rFonts w:ascii="Times New Roman" w:eastAsia="Times New Roman" w:hAnsi="Times New Roman"/>
          <w:bCs/>
          <w:sz w:val="28"/>
          <w:szCs w:val="28"/>
          <w:lang w:val="uk-UA" w:eastAsia="ru-RU"/>
        </w:rPr>
        <w:t xml:space="preserve">ійно-правова форма ДП «Оператор </w:t>
      </w:r>
      <w:r w:rsidR="00F7294E" w:rsidRPr="00D74D59">
        <w:rPr>
          <w:rFonts w:ascii="Times New Roman" w:eastAsia="Times New Roman" w:hAnsi="Times New Roman"/>
          <w:bCs/>
          <w:sz w:val="28"/>
          <w:szCs w:val="28"/>
          <w:lang w:val="uk-UA" w:eastAsia="ru-RU"/>
        </w:rPr>
        <w:t>ринку»</w:t>
      </w:r>
      <w:r w:rsidR="00F7294E">
        <w:rPr>
          <w:rFonts w:ascii="Times New Roman" w:eastAsia="Times New Roman" w:hAnsi="Times New Roman"/>
          <w:bCs/>
          <w:sz w:val="28"/>
          <w:szCs w:val="28"/>
          <w:lang w:val="uk-UA" w:eastAsia="ru-RU"/>
        </w:rPr>
        <w:t xml:space="preserve"> /</w:t>
      </w:r>
      <w:r w:rsidR="00F7294E" w:rsidRPr="00F7294E">
        <w:rPr>
          <w:rFonts w:ascii="Times New Roman" w:eastAsia="Times New Roman" w:hAnsi="Times New Roman"/>
          <w:bCs/>
          <w:i/>
          <w:sz w:val="28"/>
          <w:szCs w:val="28"/>
          <w:lang w:val="uk-UA" w:eastAsia="ru-RU"/>
        </w:rPr>
        <w:t>державне комерційне підприємство</w:t>
      </w:r>
      <w:r w:rsidR="00F7294E">
        <w:rPr>
          <w:rFonts w:ascii="Times New Roman" w:eastAsia="Times New Roman" w:hAnsi="Times New Roman"/>
          <w:bCs/>
          <w:sz w:val="28"/>
          <w:szCs w:val="28"/>
          <w:lang w:val="uk-UA" w:eastAsia="ru-RU"/>
        </w:rPr>
        <w:t>/</w:t>
      </w:r>
      <w:r w:rsidR="00F7294E" w:rsidRPr="00D74D59">
        <w:rPr>
          <w:rFonts w:ascii="Times New Roman" w:eastAsia="Times New Roman" w:hAnsi="Times New Roman"/>
          <w:bCs/>
          <w:sz w:val="28"/>
          <w:szCs w:val="28"/>
          <w:lang w:val="uk-UA" w:eastAsia="ru-RU"/>
        </w:rPr>
        <w:t xml:space="preserve"> не передбачає його участі </w:t>
      </w:r>
      <w:r w:rsidR="00F7294E">
        <w:rPr>
          <w:rFonts w:ascii="Times New Roman" w:eastAsia="Times New Roman" w:hAnsi="Times New Roman"/>
          <w:bCs/>
          <w:sz w:val="28"/>
          <w:szCs w:val="28"/>
          <w:lang w:val="uk-UA" w:eastAsia="ru-RU"/>
        </w:rPr>
        <w:t>на ринку двосторонніх договорів.</w:t>
      </w:r>
      <w:r w:rsidR="005441D3">
        <w:rPr>
          <w:rFonts w:ascii="Times New Roman" w:eastAsia="Times New Roman" w:hAnsi="Times New Roman"/>
          <w:bCs/>
          <w:sz w:val="28"/>
          <w:szCs w:val="28"/>
          <w:lang w:val="uk-UA" w:eastAsia="ru-RU"/>
        </w:rPr>
        <w:t xml:space="preserve"> Таку ж</w:t>
      </w:r>
      <w:r w:rsidR="005441D3" w:rsidRPr="00902EBB">
        <w:rPr>
          <w:rFonts w:ascii="Times New Roman" w:eastAsia="Times New Roman" w:hAnsi="Times New Roman"/>
          <w:bCs/>
          <w:sz w:val="28"/>
          <w:szCs w:val="28"/>
          <w:lang w:val="uk-UA" w:eastAsia="ru-RU"/>
        </w:rPr>
        <w:t xml:space="preserve"> думку висловлює і Мінфін у своєму експертному висновку</w:t>
      </w:r>
      <w:r w:rsidR="005441D3">
        <w:rPr>
          <w:rFonts w:ascii="Times New Roman" w:eastAsia="Times New Roman" w:hAnsi="Times New Roman"/>
          <w:bCs/>
          <w:sz w:val="28"/>
          <w:szCs w:val="28"/>
          <w:lang w:val="uk-UA" w:eastAsia="ru-RU"/>
        </w:rPr>
        <w:t xml:space="preserve"> до цього законопроекту</w:t>
      </w:r>
      <w:r w:rsidR="005441D3" w:rsidRPr="00902EBB">
        <w:rPr>
          <w:rFonts w:ascii="Times New Roman" w:eastAsia="Times New Roman" w:hAnsi="Times New Roman"/>
          <w:bCs/>
          <w:sz w:val="28"/>
          <w:szCs w:val="28"/>
          <w:lang w:val="uk-UA" w:eastAsia="ru-RU"/>
        </w:rPr>
        <w:t>.</w:t>
      </w:r>
    </w:p>
    <w:p w:rsidR="005441D3" w:rsidRPr="004F289E" w:rsidRDefault="005441D3" w:rsidP="005441D3">
      <w:pPr>
        <w:shd w:val="clear" w:color="auto" w:fill="FFFFFF"/>
        <w:tabs>
          <w:tab w:val="left" w:pos="0"/>
          <w:tab w:val="left" w:pos="567"/>
        </w:tabs>
        <w:spacing w:after="0" w:line="288" w:lineRule="auto"/>
        <w:ind w:firstLine="709"/>
        <w:jc w:val="both"/>
        <w:rPr>
          <w:rFonts w:ascii="Times New Roman" w:eastAsia="Times New Roman" w:hAnsi="Times New Roman"/>
          <w:bCs/>
          <w:sz w:val="28"/>
          <w:szCs w:val="28"/>
          <w:lang w:val="uk-UA" w:eastAsia="ru-RU"/>
        </w:rPr>
      </w:pPr>
      <w:r w:rsidRPr="004F289E">
        <w:rPr>
          <w:rFonts w:ascii="Times New Roman" w:eastAsia="Times New Roman" w:hAnsi="Times New Roman"/>
          <w:bCs/>
          <w:sz w:val="28"/>
          <w:szCs w:val="28"/>
          <w:lang w:val="uk-UA" w:eastAsia="ru-RU"/>
        </w:rPr>
        <w:t>Слід наголосити, що всупереч вимогам частини першої статті 27 Кодексу та частини третьої статті 91 Регламенту Верховної Ради України суб</w:t>
      </w:r>
      <w:r>
        <w:rPr>
          <w:rFonts w:ascii="Times New Roman" w:eastAsia="Times New Roman" w:hAnsi="Times New Roman"/>
          <w:bCs/>
          <w:sz w:val="28"/>
          <w:szCs w:val="28"/>
          <w:lang w:val="uk-UA" w:eastAsia="ru-RU"/>
        </w:rPr>
        <w:t>’</w:t>
      </w:r>
      <w:r w:rsidRPr="004F289E">
        <w:rPr>
          <w:rFonts w:ascii="Times New Roman" w:eastAsia="Times New Roman" w:hAnsi="Times New Roman"/>
          <w:bCs/>
          <w:sz w:val="28"/>
          <w:szCs w:val="28"/>
          <w:lang w:val="uk-UA" w:eastAsia="ru-RU"/>
        </w:rPr>
        <w:t>єктами права законода</w:t>
      </w:r>
      <w:r>
        <w:rPr>
          <w:rFonts w:ascii="Times New Roman" w:eastAsia="Times New Roman" w:hAnsi="Times New Roman"/>
          <w:bCs/>
          <w:sz w:val="28"/>
          <w:szCs w:val="28"/>
          <w:lang w:val="uk-UA" w:eastAsia="ru-RU"/>
        </w:rPr>
        <w:t>вчої ініціативи до законопроектів</w:t>
      </w:r>
      <w:r w:rsidRPr="004F289E">
        <w:rPr>
          <w:rFonts w:ascii="Times New Roman" w:eastAsia="Times New Roman" w:hAnsi="Times New Roman"/>
          <w:bCs/>
          <w:sz w:val="28"/>
          <w:szCs w:val="28"/>
          <w:lang w:val="uk-UA" w:eastAsia="ru-RU"/>
        </w:rPr>
        <w:t>, прийняття як</w:t>
      </w:r>
      <w:r>
        <w:rPr>
          <w:rFonts w:ascii="Times New Roman" w:eastAsia="Times New Roman" w:hAnsi="Times New Roman"/>
          <w:bCs/>
          <w:sz w:val="28"/>
          <w:szCs w:val="28"/>
          <w:lang w:val="uk-UA" w:eastAsia="ru-RU"/>
        </w:rPr>
        <w:t>их</w:t>
      </w:r>
      <w:r w:rsidRPr="004F289E">
        <w:rPr>
          <w:rFonts w:ascii="Times New Roman" w:eastAsia="Times New Roman" w:hAnsi="Times New Roman"/>
          <w:bCs/>
          <w:sz w:val="28"/>
          <w:szCs w:val="28"/>
          <w:lang w:val="uk-UA" w:eastAsia="ru-RU"/>
        </w:rPr>
        <w:t xml:space="preserve"> призведе до зміни показників бюджету, не подано належного фінансово-економічного обґрунтування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що унеможливлює визначення орієнтовного обсягу потреби у додаткових коштах держаного бюджету.</w:t>
      </w:r>
      <w:r>
        <w:rPr>
          <w:rFonts w:ascii="Times New Roman" w:eastAsia="Times New Roman" w:hAnsi="Times New Roman"/>
          <w:bCs/>
          <w:sz w:val="28"/>
          <w:szCs w:val="28"/>
          <w:lang w:val="uk-UA" w:eastAsia="ru-RU"/>
        </w:rPr>
        <w:t xml:space="preserve"> </w:t>
      </w:r>
      <w:r w:rsidRPr="00214B05">
        <w:rPr>
          <w:rFonts w:ascii="Times New Roman" w:eastAsia="Times New Roman" w:hAnsi="Times New Roman"/>
          <w:sz w:val="28"/>
          <w:szCs w:val="28"/>
          <w:lang w:val="uk-UA" w:eastAsia="ru-RU"/>
        </w:rPr>
        <w:t>На</w:t>
      </w:r>
      <w:r w:rsidR="00753117">
        <w:rPr>
          <w:rFonts w:ascii="Times New Roman" w:eastAsia="Times New Roman" w:hAnsi="Times New Roman"/>
          <w:sz w:val="28"/>
          <w:szCs w:val="28"/>
          <w:lang w:val="uk-UA" w:eastAsia="ru-RU"/>
        </w:rPr>
        <w:t> </w:t>
      </w:r>
      <w:r w:rsidRPr="00214B05">
        <w:rPr>
          <w:rFonts w:ascii="Times New Roman" w:eastAsia="Times New Roman" w:hAnsi="Times New Roman"/>
          <w:sz w:val="28"/>
          <w:szCs w:val="28"/>
          <w:lang w:val="uk-UA" w:eastAsia="ru-RU"/>
        </w:rPr>
        <w:t>невиконання вказаних вимог</w:t>
      </w:r>
      <w:r w:rsidRPr="00214B05">
        <w:rPr>
          <w:rFonts w:ascii="Times New Roman" w:eastAsia="Times New Roman" w:hAnsi="Times New Roman"/>
          <w:color w:val="000000"/>
          <w:sz w:val="28"/>
          <w:szCs w:val="28"/>
          <w:lang w:val="uk-UA" w:eastAsia="ru-RU"/>
        </w:rPr>
        <w:t xml:space="preserve"> звернуто увагу також </w:t>
      </w:r>
      <w:r w:rsidRPr="00146F76">
        <w:rPr>
          <w:rFonts w:ascii="Times New Roman" w:eastAsia="Times New Roman" w:hAnsi="Times New Roman"/>
          <w:sz w:val="28"/>
          <w:szCs w:val="28"/>
          <w:lang w:val="uk-UA" w:eastAsia="ru-RU"/>
        </w:rPr>
        <w:t>Мінфіном</w:t>
      </w:r>
      <w:r w:rsidR="00753117">
        <w:rPr>
          <w:rFonts w:ascii="Times New Roman" w:eastAsia="Times New Roman" w:hAnsi="Times New Roman"/>
          <w:sz w:val="28"/>
          <w:szCs w:val="28"/>
          <w:lang w:val="uk-UA" w:eastAsia="ru-RU"/>
        </w:rPr>
        <w:t>.</w:t>
      </w:r>
    </w:p>
    <w:p w:rsidR="005441D3" w:rsidRPr="007F6415" w:rsidRDefault="00975B06" w:rsidP="004E0177">
      <w:pPr>
        <w:shd w:val="clear" w:color="auto" w:fill="FFFFFF"/>
        <w:tabs>
          <w:tab w:val="left" w:pos="0"/>
          <w:tab w:val="left" w:pos="567"/>
        </w:tabs>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Загалом</w:t>
      </w:r>
      <w:r w:rsidR="005441D3" w:rsidRPr="007F6415">
        <w:rPr>
          <w:rFonts w:ascii="Times New Roman" w:eastAsia="Times New Roman" w:hAnsi="Times New Roman"/>
          <w:bCs/>
          <w:sz w:val="28"/>
          <w:szCs w:val="28"/>
          <w:lang w:val="uk-UA" w:eastAsia="ru-RU"/>
        </w:rPr>
        <w:t xml:space="preserve"> Мінфін </w:t>
      </w:r>
      <w:r w:rsidR="004E0177">
        <w:rPr>
          <w:rFonts w:ascii="Times New Roman" w:eastAsia="Times New Roman" w:hAnsi="Times New Roman"/>
          <w:bCs/>
          <w:sz w:val="28"/>
          <w:szCs w:val="28"/>
          <w:lang w:val="uk-UA" w:eastAsia="ru-RU"/>
        </w:rPr>
        <w:t xml:space="preserve">відмічає, що законопроект потребує доопрацювання та </w:t>
      </w:r>
      <w:r w:rsidR="004E0177" w:rsidRPr="007F6415">
        <w:rPr>
          <w:rFonts w:ascii="Times New Roman" w:eastAsia="Times New Roman" w:hAnsi="Times New Roman"/>
          <w:bCs/>
          <w:sz w:val="28"/>
          <w:szCs w:val="28"/>
          <w:lang w:val="uk-UA" w:eastAsia="ru-RU"/>
        </w:rPr>
        <w:t>наголошує на доцільності отримання в</w:t>
      </w:r>
      <w:r w:rsidR="004E0177">
        <w:rPr>
          <w:rFonts w:ascii="Times New Roman" w:eastAsia="Times New Roman" w:hAnsi="Times New Roman"/>
          <w:bCs/>
          <w:sz w:val="28"/>
          <w:szCs w:val="28"/>
          <w:lang w:val="uk-UA" w:eastAsia="ru-RU"/>
        </w:rPr>
        <w:t xml:space="preserve">ідповідних висновків Регулятора (в частині регулювання діяльності з накопичення енергії) та Національної комісії </w:t>
      </w:r>
      <w:r w:rsidR="004E0177" w:rsidRPr="004E0177">
        <w:rPr>
          <w:rFonts w:ascii="Times New Roman" w:eastAsia="Times New Roman" w:hAnsi="Times New Roman"/>
          <w:bCs/>
          <w:sz w:val="28"/>
          <w:szCs w:val="28"/>
          <w:lang w:val="uk-UA" w:eastAsia="ru-RU"/>
        </w:rPr>
        <w:t>з цінних паперів та фондового ринку</w:t>
      </w:r>
      <w:r w:rsidR="004E0177">
        <w:rPr>
          <w:rFonts w:ascii="Times New Roman" w:eastAsia="Times New Roman" w:hAnsi="Times New Roman"/>
          <w:bCs/>
          <w:sz w:val="28"/>
          <w:szCs w:val="28"/>
          <w:lang w:val="uk-UA" w:eastAsia="ru-RU"/>
        </w:rPr>
        <w:t xml:space="preserve"> (щодо організації на базі оператора ринку майданчика для проведення електронних аукціонів з купівлі-продажу електричної </w:t>
      </w:r>
      <w:r w:rsidR="004E0177" w:rsidRPr="004E0177">
        <w:rPr>
          <w:rFonts w:ascii="Times New Roman" w:eastAsia="Times New Roman" w:hAnsi="Times New Roman"/>
          <w:bCs/>
          <w:sz w:val="28"/>
          <w:szCs w:val="28"/>
          <w:lang w:val="uk-UA" w:eastAsia="ru-RU"/>
        </w:rPr>
        <w:t>енергії за двосторонніми договорами</w:t>
      </w:r>
      <w:r w:rsidR="004E0177">
        <w:rPr>
          <w:rFonts w:ascii="Times New Roman" w:eastAsia="Times New Roman" w:hAnsi="Times New Roman"/>
          <w:bCs/>
          <w:sz w:val="28"/>
          <w:szCs w:val="28"/>
          <w:lang w:val="uk-UA" w:eastAsia="ru-RU"/>
        </w:rPr>
        <w:t xml:space="preserve">), а також </w:t>
      </w:r>
      <w:r w:rsidR="00753117">
        <w:rPr>
          <w:rFonts w:ascii="Times New Roman" w:eastAsia="Times New Roman" w:hAnsi="Times New Roman"/>
          <w:bCs/>
          <w:sz w:val="28"/>
          <w:szCs w:val="28"/>
          <w:lang w:val="uk-UA" w:eastAsia="ru-RU"/>
        </w:rPr>
        <w:t>надання фінансово-економічних розрахунків</w:t>
      </w:r>
      <w:r w:rsidR="00753117" w:rsidRPr="00753117">
        <w:rPr>
          <w:rFonts w:ascii="Times New Roman" w:eastAsia="Times New Roman" w:hAnsi="Times New Roman"/>
          <w:bCs/>
          <w:sz w:val="28"/>
          <w:szCs w:val="28"/>
          <w:lang w:val="uk-UA" w:eastAsia="ru-RU"/>
        </w:rPr>
        <w:t xml:space="preserve"> та обґрунтуван</w:t>
      </w:r>
      <w:r w:rsidR="00753117">
        <w:rPr>
          <w:rFonts w:ascii="Times New Roman" w:eastAsia="Times New Roman" w:hAnsi="Times New Roman"/>
          <w:bCs/>
          <w:sz w:val="28"/>
          <w:szCs w:val="28"/>
          <w:lang w:val="uk-UA" w:eastAsia="ru-RU"/>
        </w:rPr>
        <w:t xml:space="preserve">ь щодо впливу </w:t>
      </w:r>
      <w:r w:rsidR="00753117" w:rsidRPr="00753117">
        <w:rPr>
          <w:rFonts w:ascii="Times New Roman" w:eastAsia="Times New Roman" w:hAnsi="Times New Roman"/>
          <w:bCs/>
          <w:sz w:val="28"/>
          <w:szCs w:val="28"/>
          <w:lang w:val="uk-UA" w:eastAsia="ru-RU"/>
        </w:rPr>
        <w:t>законопроекту на фінансовий стан електроенергетичних підприємств державного</w:t>
      </w:r>
      <w:r w:rsidR="00753117">
        <w:rPr>
          <w:rFonts w:ascii="Times New Roman" w:eastAsia="Times New Roman" w:hAnsi="Times New Roman"/>
          <w:bCs/>
          <w:sz w:val="28"/>
          <w:szCs w:val="28"/>
          <w:lang w:val="uk-UA" w:eastAsia="ru-RU"/>
        </w:rPr>
        <w:t xml:space="preserve"> </w:t>
      </w:r>
      <w:r w:rsidR="00753117" w:rsidRPr="00753117">
        <w:rPr>
          <w:rFonts w:ascii="Times New Roman" w:eastAsia="Times New Roman" w:hAnsi="Times New Roman"/>
          <w:bCs/>
          <w:sz w:val="28"/>
          <w:szCs w:val="28"/>
          <w:lang w:val="uk-UA" w:eastAsia="ru-RU"/>
        </w:rPr>
        <w:t xml:space="preserve">сектору економіки </w:t>
      </w:r>
      <w:r w:rsidR="004E0177">
        <w:rPr>
          <w:rFonts w:ascii="Times New Roman" w:eastAsia="Times New Roman" w:hAnsi="Times New Roman"/>
          <w:bCs/>
          <w:sz w:val="28"/>
          <w:szCs w:val="28"/>
          <w:lang w:val="uk-UA" w:eastAsia="ru-RU"/>
        </w:rPr>
        <w:t>(</w:t>
      </w:r>
      <w:r w:rsidR="00753117" w:rsidRPr="00753117">
        <w:rPr>
          <w:rFonts w:ascii="Times New Roman" w:eastAsia="Times New Roman" w:hAnsi="Times New Roman"/>
          <w:bCs/>
          <w:sz w:val="28"/>
          <w:szCs w:val="28"/>
          <w:lang w:val="uk-UA" w:eastAsia="ru-RU"/>
        </w:rPr>
        <w:t>із зазначенням обсягів реалізації електричної енергії, зокрема, при</w:t>
      </w:r>
      <w:r w:rsidR="00753117">
        <w:rPr>
          <w:rFonts w:ascii="Times New Roman" w:eastAsia="Times New Roman" w:hAnsi="Times New Roman"/>
          <w:bCs/>
          <w:sz w:val="28"/>
          <w:szCs w:val="28"/>
          <w:lang w:val="uk-UA" w:eastAsia="ru-RU"/>
        </w:rPr>
        <w:t xml:space="preserve"> </w:t>
      </w:r>
      <w:r w:rsidR="00753117" w:rsidRPr="00753117">
        <w:rPr>
          <w:rFonts w:ascii="Times New Roman" w:eastAsia="Times New Roman" w:hAnsi="Times New Roman"/>
          <w:bCs/>
          <w:sz w:val="28"/>
          <w:szCs w:val="28"/>
          <w:lang w:val="uk-UA" w:eastAsia="ru-RU"/>
        </w:rPr>
        <w:t>продажу електричної енергії за двосторонніми договорами</w:t>
      </w:r>
      <w:r w:rsidR="004E0177">
        <w:rPr>
          <w:rFonts w:ascii="Times New Roman" w:eastAsia="Times New Roman" w:hAnsi="Times New Roman"/>
          <w:bCs/>
          <w:sz w:val="28"/>
          <w:szCs w:val="28"/>
          <w:lang w:val="uk-UA" w:eastAsia="ru-RU"/>
        </w:rPr>
        <w:t>)</w:t>
      </w:r>
      <w:r w:rsidR="00753117">
        <w:rPr>
          <w:rFonts w:ascii="Times New Roman" w:eastAsia="Times New Roman" w:hAnsi="Times New Roman"/>
          <w:bCs/>
          <w:sz w:val="28"/>
          <w:szCs w:val="28"/>
          <w:lang w:val="uk-UA" w:eastAsia="ru-RU"/>
        </w:rPr>
        <w:t>.</w:t>
      </w:r>
    </w:p>
    <w:p w:rsidR="005441D3" w:rsidRPr="00146F76" w:rsidRDefault="005441D3" w:rsidP="005441D3">
      <w:pPr>
        <w:spacing w:after="0" w:line="288" w:lineRule="auto"/>
        <w:ind w:firstLine="709"/>
        <w:jc w:val="both"/>
        <w:rPr>
          <w:rFonts w:ascii="Times New Roman" w:eastAsia="Times New Roman" w:hAnsi="Times New Roman"/>
          <w:sz w:val="28"/>
          <w:szCs w:val="28"/>
          <w:lang w:val="uk-UA" w:eastAsia="ru-RU"/>
        </w:rPr>
      </w:pPr>
      <w:r w:rsidRPr="00146F76">
        <w:rPr>
          <w:rFonts w:ascii="Times New Roman" w:eastAsia="Times New Roman" w:hAnsi="Times New Roman"/>
          <w:sz w:val="28"/>
          <w:szCs w:val="28"/>
          <w:lang w:val="uk-UA" w:eastAsia="ru-RU"/>
        </w:rPr>
        <w:lastRenderedPageBreak/>
        <w:t>Щодо терміну набрання чинності відповідним законом, то відповідно до вимог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якщо ж ці Закони України або їх окремі положення приймаються після 15 липня року, що передує плановому – вводяться в дію не раніше початку бюджетного періоду, що настає за плановим.</w:t>
      </w:r>
    </w:p>
    <w:p w:rsidR="009B3872" w:rsidRDefault="00BC7BFE" w:rsidP="00410A88">
      <w:pPr>
        <w:spacing w:after="0" w:line="288" w:lineRule="auto"/>
        <w:ind w:firstLine="709"/>
        <w:jc w:val="both"/>
        <w:rPr>
          <w:rFonts w:ascii="Times New Roman" w:eastAsia="Times New Roman" w:hAnsi="Times New Roman"/>
          <w:bCs/>
          <w:sz w:val="28"/>
          <w:szCs w:val="28"/>
          <w:lang w:val="uk-UA" w:eastAsia="ru-RU"/>
        </w:rPr>
      </w:pPr>
      <w:r w:rsidRPr="00BC7BFE">
        <w:rPr>
          <w:rFonts w:ascii="Times New Roman" w:eastAsia="Times New Roman" w:hAnsi="Times New Roman"/>
          <w:bCs/>
          <w:sz w:val="28"/>
          <w:szCs w:val="28"/>
          <w:lang w:val="uk-UA" w:eastAsia="ru-RU"/>
        </w:rPr>
        <w:t xml:space="preserve">За підсумками розгляду Комітет прийняв рішення, що проект Закону України </w:t>
      </w:r>
      <w:r w:rsidR="00410A88">
        <w:rPr>
          <w:rFonts w:ascii="Times New Roman" w:eastAsia="Times New Roman" w:hAnsi="Times New Roman"/>
          <w:bCs/>
          <w:sz w:val="28"/>
          <w:szCs w:val="28"/>
          <w:lang w:val="uk-UA" w:eastAsia="ru-RU"/>
        </w:rPr>
        <w:t>«П</w:t>
      </w:r>
      <w:r w:rsidR="00410A88" w:rsidRPr="00F24085">
        <w:rPr>
          <w:rFonts w:ascii="Times New Roman" w:eastAsia="Times New Roman" w:hAnsi="Times New Roman"/>
          <w:bCs/>
          <w:sz w:val="28"/>
          <w:szCs w:val="28"/>
          <w:lang w:val="uk-UA" w:eastAsia="ru-RU"/>
        </w:rPr>
        <w:t>ро внесення змін до деяких законів України щодо розвитку систем накопичення енергії та торгівлі на електронних аукціонах</w:t>
      </w:r>
      <w:r w:rsidR="00410A88">
        <w:rPr>
          <w:rFonts w:ascii="Times New Roman" w:eastAsia="Times New Roman" w:hAnsi="Times New Roman"/>
          <w:bCs/>
          <w:sz w:val="28"/>
          <w:szCs w:val="28"/>
          <w:lang w:val="uk-UA" w:eastAsia="ru-RU"/>
        </w:rPr>
        <w:t>» (</w:t>
      </w:r>
      <w:r w:rsidR="00410A88" w:rsidRPr="00F24085">
        <w:rPr>
          <w:rFonts w:ascii="Times New Roman" w:eastAsia="Times New Roman" w:hAnsi="Times New Roman"/>
          <w:bCs/>
          <w:sz w:val="28"/>
          <w:szCs w:val="28"/>
          <w:lang w:val="uk-UA" w:eastAsia="ru-RU"/>
        </w:rPr>
        <w:t>реєстр. № 5436-2 від 19.05.2021</w:t>
      </w:r>
      <w:r w:rsidR="00410A88">
        <w:rPr>
          <w:rFonts w:ascii="Times New Roman" w:eastAsia="Times New Roman" w:hAnsi="Times New Roman"/>
          <w:bCs/>
          <w:sz w:val="28"/>
          <w:szCs w:val="28"/>
          <w:lang w:val="uk-UA" w:eastAsia="ru-RU"/>
        </w:rPr>
        <w:t xml:space="preserve">), </w:t>
      </w:r>
      <w:r w:rsidR="00410A88" w:rsidRPr="00F24085">
        <w:rPr>
          <w:rFonts w:ascii="Times New Roman" w:eastAsia="Times New Roman" w:hAnsi="Times New Roman"/>
          <w:bCs/>
          <w:sz w:val="28"/>
          <w:szCs w:val="28"/>
          <w:lang w:val="uk-UA" w:eastAsia="ru-RU"/>
        </w:rPr>
        <w:t>поданий народними депутатами України</w:t>
      </w:r>
      <w:r w:rsidR="00410A88">
        <w:rPr>
          <w:rFonts w:ascii="Times New Roman" w:eastAsia="Times New Roman" w:hAnsi="Times New Roman"/>
          <w:bCs/>
          <w:sz w:val="28"/>
          <w:szCs w:val="28"/>
          <w:lang w:val="uk-UA" w:eastAsia="ru-RU"/>
        </w:rPr>
        <w:t xml:space="preserve"> Герусом А. М., Нагорняком С. В. та іншими, </w:t>
      </w:r>
      <w:r w:rsidRPr="00BC7BFE">
        <w:rPr>
          <w:rFonts w:ascii="Times New Roman" w:eastAsia="Times New Roman" w:hAnsi="Times New Roman"/>
          <w:bCs/>
          <w:sz w:val="28"/>
          <w:szCs w:val="28"/>
          <w:lang w:val="uk-UA" w:eastAsia="ru-RU"/>
        </w:rPr>
        <w:t>матиме вплив на показники бюджетів (збільшуючи надходження і витрати державного та місцевих бюджетів). 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0672B6" w:rsidRDefault="000672B6" w:rsidP="00410A88">
      <w:pPr>
        <w:spacing w:after="0" w:line="288" w:lineRule="auto"/>
        <w:ind w:firstLine="709"/>
        <w:jc w:val="both"/>
        <w:rPr>
          <w:rFonts w:ascii="Times New Roman" w:eastAsia="Times New Roman" w:hAnsi="Times New Roman"/>
          <w:bCs/>
          <w:sz w:val="28"/>
          <w:szCs w:val="28"/>
          <w:lang w:val="uk-UA" w:eastAsia="ru-RU"/>
        </w:rPr>
      </w:pPr>
    </w:p>
    <w:p w:rsidR="000672B6" w:rsidRDefault="000672B6" w:rsidP="00410A88">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Додаток: на 2 арк.</w:t>
      </w:r>
    </w:p>
    <w:p w:rsidR="009B3872" w:rsidRDefault="009B3872" w:rsidP="009B3872">
      <w:pPr>
        <w:spacing w:after="0" w:line="288" w:lineRule="auto"/>
        <w:ind w:firstLine="709"/>
        <w:jc w:val="both"/>
        <w:rPr>
          <w:rFonts w:ascii="Times New Roman" w:eastAsia="Times New Roman" w:hAnsi="Times New Roman"/>
          <w:bCs/>
          <w:sz w:val="28"/>
          <w:szCs w:val="28"/>
          <w:lang w:val="uk-UA" w:eastAsia="ru-RU"/>
        </w:rPr>
      </w:pPr>
    </w:p>
    <w:p w:rsidR="009B3872" w:rsidRDefault="009B3872" w:rsidP="009B3872">
      <w:pPr>
        <w:spacing w:before="120" w:after="0" w:line="300" w:lineRule="auto"/>
        <w:ind w:left="142" w:firstLine="709"/>
        <w:jc w:val="both"/>
        <w:rPr>
          <w:rFonts w:ascii="Times New Roman" w:eastAsia="Times New Roman" w:hAnsi="Times New Roman"/>
          <w:b/>
          <w:bCs/>
          <w:sz w:val="28"/>
          <w:szCs w:val="28"/>
          <w:lang w:val="uk-UA" w:eastAsia="ru-RU"/>
        </w:rPr>
      </w:pPr>
    </w:p>
    <w:p w:rsidR="009B3872" w:rsidRDefault="009B3872" w:rsidP="009B3872">
      <w:pPr>
        <w:spacing w:after="0" w:line="300" w:lineRule="auto"/>
        <w:ind w:left="142"/>
        <w:jc w:val="both"/>
        <w:rPr>
          <w:rFonts w:ascii="Times New Roman" w:eastAsia="Times New Roman" w:hAnsi="Times New Roman"/>
          <w:bCs/>
          <w:sz w:val="28"/>
          <w:szCs w:val="28"/>
          <w:lang w:val="uk-UA" w:eastAsia="ru-RU"/>
        </w:rPr>
      </w:pPr>
      <w:r w:rsidRPr="00541B95">
        <w:rPr>
          <w:rFonts w:ascii="Times New Roman" w:eastAsia="Times New Roman" w:hAnsi="Times New Roman"/>
          <w:b/>
          <w:sz w:val="28"/>
          <w:szCs w:val="28"/>
          <w:lang w:val="uk-UA" w:eastAsia="ru-RU"/>
        </w:rPr>
        <w:t xml:space="preserve">Голова Комітету                                                                               </w:t>
      </w:r>
      <w:r w:rsidRPr="00F349D9">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       </w:t>
      </w:r>
      <w:r w:rsidRPr="00541B95">
        <w:rPr>
          <w:rFonts w:ascii="Times New Roman" w:eastAsia="Times New Roman" w:hAnsi="Times New Roman"/>
          <w:b/>
          <w:sz w:val="28"/>
          <w:szCs w:val="28"/>
          <w:lang w:val="uk-UA" w:eastAsia="ru-RU"/>
        </w:rPr>
        <w:t>Ю.Ю. А</w:t>
      </w:r>
      <w:r w:rsidRPr="00F349D9">
        <w:rPr>
          <w:rFonts w:ascii="Times New Roman" w:eastAsia="Times New Roman" w:hAnsi="Times New Roman"/>
          <w:b/>
          <w:sz w:val="28"/>
          <w:szCs w:val="28"/>
          <w:lang w:val="uk-UA" w:eastAsia="ru-RU"/>
        </w:rPr>
        <w:t>рістов</w:t>
      </w:r>
    </w:p>
    <w:p w:rsidR="009B3872" w:rsidRDefault="009B3872" w:rsidP="009B3872">
      <w:pPr>
        <w:spacing w:after="0" w:line="276" w:lineRule="auto"/>
        <w:ind w:left="142" w:firstLine="709"/>
        <w:jc w:val="both"/>
        <w:rPr>
          <w:rFonts w:ascii="Times New Roman" w:eastAsia="Times New Roman" w:hAnsi="Times New Roman"/>
          <w:bCs/>
          <w:sz w:val="28"/>
          <w:szCs w:val="28"/>
          <w:lang w:val="uk-UA" w:eastAsia="ru-RU"/>
        </w:rPr>
      </w:pPr>
    </w:p>
    <w:p w:rsidR="001F50FE" w:rsidRDefault="001F50FE" w:rsidP="001F50FE">
      <w:pPr>
        <w:spacing w:after="0" w:line="300" w:lineRule="auto"/>
        <w:ind w:firstLine="709"/>
        <w:jc w:val="both"/>
        <w:rPr>
          <w:rFonts w:ascii="Times New Roman" w:eastAsia="Times New Roman" w:hAnsi="Times New Roman"/>
          <w:bCs/>
          <w:sz w:val="28"/>
          <w:szCs w:val="28"/>
          <w:lang w:val="uk-UA" w:eastAsia="ru-RU"/>
        </w:rPr>
      </w:pPr>
    </w:p>
    <w:p w:rsidR="001F50FE" w:rsidRDefault="001F50FE" w:rsidP="001F50FE">
      <w:pPr>
        <w:spacing w:after="0" w:line="300" w:lineRule="auto"/>
        <w:ind w:firstLine="709"/>
        <w:jc w:val="both"/>
        <w:rPr>
          <w:rFonts w:ascii="Times New Roman" w:eastAsia="Times New Roman" w:hAnsi="Times New Roman"/>
          <w:bCs/>
          <w:sz w:val="28"/>
          <w:szCs w:val="28"/>
          <w:lang w:val="uk-UA" w:eastAsia="ru-RU"/>
        </w:rPr>
      </w:pPr>
    </w:p>
    <w:p w:rsidR="006C6193" w:rsidRDefault="006C6193" w:rsidP="002D13C4">
      <w:pPr>
        <w:spacing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Pr="009B3872" w:rsidRDefault="00B8380F" w:rsidP="00065CD2">
      <w:pPr>
        <w:spacing w:before="240" w:after="0" w:line="300" w:lineRule="auto"/>
        <w:ind w:left="142" w:firstLine="709"/>
        <w:jc w:val="both"/>
        <w:rPr>
          <w:rFonts w:ascii="Times New Roman" w:eastAsia="Times New Roman" w:hAnsi="Times New Roman"/>
          <w:bCs/>
          <w:sz w:val="28"/>
          <w:szCs w:val="28"/>
          <w:lang w:eastAsia="ru-RU"/>
        </w:rPr>
      </w:pPr>
    </w:p>
    <w:p w:rsidR="00F349D9" w:rsidRPr="00F349D9" w:rsidRDefault="00F349D9" w:rsidP="00BE6F00">
      <w:pPr>
        <w:spacing w:after="0" w:line="240" w:lineRule="auto"/>
        <w:ind w:left="142" w:firstLine="709"/>
        <w:jc w:val="both"/>
        <w:rPr>
          <w:rFonts w:ascii="Times New Roman" w:hAnsi="Times New Roman"/>
          <w:sz w:val="28"/>
          <w:szCs w:val="28"/>
          <w:lang w:val="uk-UA"/>
        </w:rPr>
      </w:pPr>
    </w:p>
    <w:p w:rsidR="00F349D9" w:rsidRDefault="00F349D9" w:rsidP="00BE6F00">
      <w:pPr>
        <w:spacing w:after="0" w:line="240" w:lineRule="auto"/>
        <w:ind w:left="142" w:firstLine="709"/>
        <w:jc w:val="both"/>
        <w:rPr>
          <w:rFonts w:ascii="Times New Roman" w:hAnsi="Times New Roman"/>
          <w:sz w:val="27"/>
          <w:szCs w:val="27"/>
          <w:lang w:val="uk-UA"/>
        </w:rPr>
      </w:pPr>
    </w:p>
    <w:p w:rsidR="00F349D9" w:rsidRPr="00C54F30" w:rsidRDefault="00F349D9" w:rsidP="00BE6F00">
      <w:pPr>
        <w:spacing w:after="0" w:line="288" w:lineRule="auto"/>
        <w:ind w:left="142"/>
        <w:jc w:val="both"/>
        <w:rPr>
          <w:rFonts w:ascii="Times New Roman" w:eastAsia="Times New Roman" w:hAnsi="Times New Roman"/>
          <w:bCs/>
          <w:sz w:val="27"/>
          <w:szCs w:val="27"/>
          <w:lang w:val="uk-UA" w:eastAsia="ru-RU"/>
        </w:rPr>
      </w:pPr>
    </w:p>
    <w:sectPr w:rsidR="00F349D9" w:rsidRPr="00C54F30" w:rsidSect="00BE6F00">
      <w:headerReference w:type="default" r:id="rId7"/>
      <w:footerReference w:type="default" r:id="rId8"/>
      <w:headerReference w:type="first" r:id="rId9"/>
      <w:footerReference w:type="first" r:id="rId10"/>
      <w:pgSz w:w="11906" w:h="16838"/>
      <w:pgMar w:top="1134" w:right="737" w:bottom="993" w:left="96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61" w:rsidRDefault="00477161" w:rsidP="005E306B">
      <w:pPr>
        <w:spacing w:after="0" w:line="240" w:lineRule="auto"/>
      </w:pPr>
      <w:r>
        <w:separator/>
      </w:r>
    </w:p>
  </w:endnote>
  <w:endnote w:type="continuationSeparator" w:id="0">
    <w:p w:rsidR="00477161" w:rsidRDefault="0047716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00336"/>
      <w:docPartObj>
        <w:docPartGallery w:val="Page Numbers (Bottom of Page)"/>
        <w:docPartUnique/>
      </w:docPartObj>
    </w:sdtPr>
    <w:sdtEndPr>
      <w:rPr>
        <w:rFonts w:ascii="Times New Roman" w:hAnsi="Times New Roman"/>
      </w:rPr>
    </w:sdtEndPr>
    <w:sdtContent>
      <w:p w:rsidR="00815D77" w:rsidRPr="00815D77" w:rsidRDefault="00815D77">
        <w:pPr>
          <w:pStyle w:val="a5"/>
          <w:jc w:val="right"/>
          <w:rPr>
            <w:rFonts w:ascii="Times New Roman" w:hAnsi="Times New Roman"/>
          </w:rPr>
        </w:pPr>
        <w:r w:rsidRPr="00815D77">
          <w:rPr>
            <w:rFonts w:ascii="Times New Roman" w:hAnsi="Times New Roman"/>
          </w:rPr>
          <w:fldChar w:fldCharType="begin"/>
        </w:r>
        <w:r w:rsidRPr="00815D77">
          <w:rPr>
            <w:rFonts w:ascii="Times New Roman" w:hAnsi="Times New Roman"/>
          </w:rPr>
          <w:instrText>PAGE   \* MERGEFORMAT</w:instrText>
        </w:r>
        <w:r w:rsidRPr="00815D77">
          <w:rPr>
            <w:rFonts w:ascii="Times New Roman" w:hAnsi="Times New Roman"/>
          </w:rPr>
          <w:fldChar w:fldCharType="separate"/>
        </w:r>
        <w:r w:rsidR="00B201A7" w:rsidRPr="00B201A7">
          <w:rPr>
            <w:rFonts w:ascii="Times New Roman" w:hAnsi="Times New Roman"/>
            <w:noProof/>
            <w:lang w:val="uk-UA"/>
          </w:rPr>
          <w:t>4</w:t>
        </w:r>
        <w:r w:rsidRPr="00815D77">
          <w:rPr>
            <w:rFonts w:ascii="Times New Roman" w:hAnsi="Times New Roman"/>
          </w:rPr>
          <w:fldChar w:fldCharType="end"/>
        </w:r>
      </w:p>
    </w:sdtContent>
  </w:sdt>
  <w:p w:rsidR="00815D77" w:rsidRDefault="00815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477161">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61" w:rsidRDefault="00477161" w:rsidP="005E306B">
      <w:pPr>
        <w:spacing w:after="0" w:line="240" w:lineRule="auto"/>
      </w:pPr>
      <w:r>
        <w:separator/>
      </w:r>
    </w:p>
  </w:footnote>
  <w:footnote w:type="continuationSeparator" w:id="0">
    <w:p w:rsidR="00477161" w:rsidRDefault="0047716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E6F00">
      <w:tc>
        <w:tcPr>
          <w:tcW w:w="11957" w:type="dxa"/>
          <w:tcBorders>
            <w:top w:val="nil"/>
            <w:left w:val="nil"/>
            <w:bottom w:val="nil"/>
            <w:right w:val="nil"/>
          </w:tcBorders>
        </w:tcPr>
        <w:p w:rsidR="00CE6A4B" w:rsidRPr="00AD7F82" w:rsidRDefault="00CE6A4B" w:rsidP="00C86EE5">
          <w:pPr>
            <w:pStyle w:val="a3"/>
            <w:tabs>
              <w:tab w:val="clear" w:pos="4677"/>
              <w:tab w:val="clear" w:pos="9355"/>
            </w:tabs>
            <w:ind w:left="180"/>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993"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95318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17990"/>
    <w:rsid w:val="0004046F"/>
    <w:rsid w:val="00041AB4"/>
    <w:rsid w:val="000538C5"/>
    <w:rsid w:val="00054F3F"/>
    <w:rsid w:val="00061669"/>
    <w:rsid w:val="00065CD2"/>
    <w:rsid w:val="000672B6"/>
    <w:rsid w:val="000A6A3B"/>
    <w:rsid w:val="000E6221"/>
    <w:rsid w:val="000F1586"/>
    <w:rsid w:val="00101582"/>
    <w:rsid w:val="0010442E"/>
    <w:rsid w:val="00112363"/>
    <w:rsid w:val="00141617"/>
    <w:rsid w:val="0014679E"/>
    <w:rsid w:val="00176695"/>
    <w:rsid w:val="0019108F"/>
    <w:rsid w:val="0019231B"/>
    <w:rsid w:val="00195FA8"/>
    <w:rsid w:val="001966F0"/>
    <w:rsid w:val="001B6FC1"/>
    <w:rsid w:val="001D3C24"/>
    <w:rsid w:val="001F4976"/>
    <w:rsid w:val="001F50FE"/>
    <w:rsid w:val="001F6485"/>
    <w:rsid w:val="00207756"/>
    <w:rsid w:val="0021032F"/>
    <w:rsid w:val="0021338C"/>
    <w:rsid w:val="0022684E"/>
    <w:rsid w:val="00230BCF"/>
    <w:rsid w:val="00235CD7"/>
    <w:rsid w:val="0023739B"/>
    <w:rsid w:val="00255217"/>
    <w:rsid w:val="00293C71"/>
    <w:rsid w:val="00296C67"/>
    <w:rsid w:val="002A1F65"/>
    <w:rsid w:val="002A2985"/>
    <w:rsid w:val="002A5D4C"/>
    <w:rsid w:val="002B5CCE"/>
    <w:rsid w:val="002B5FC0"/>
    <w:rsid w:val="002B5FC1"/>
    <w:rsid w:val="002C1392"/>
    <w:rsid w:val="002C158A"/>
    <w:rsid w:val="002C2E27"/>
    <w:rsid w:val="002D0561"/>
    <w:rsid w:val="002D13C4"/>
    <w:rsid w:val="002E0A18"/>
    <w:rsid w:val="002E2837"/>
    <w:rsid w:val="002E31BF"/>
    <w:rsid w:val="002E44DA"/>
    <w:rsid w:val="0031593F"/>
    <w:rsid w:val="00323BA0"/>
    <w:rsid w:val="00326F25"/>
    <w:rsid w:val="00343316"/>
    <w:rsid w:val="003463B5"/>
    <w:rsid w:val="00365483"/>
    <w:rsid w:val="003672EA"/>
    <w:rsid w:val="00374E04"/>
    <w:rsid w:val="003A3250"/>
    <w:rsid w:val="003A61AC"/>
    <w:rsid w:val="003A78F9"/>
    <w:rsid w:val="003B037A"/>
    <w:rsid w:val="003C390C"/>
    <w:rsid w:val="003D0996"/>
    <w:rsid w:val="003D1CBA"/>
    <w:rsid w:val="003D2E95"/>
    <w:rsid w:val="003F7601"/>
    <w:rsid w:val="004104F6"/>
    <w:rsid w:val="00410A88"/>
    <w:rsid w:val="00411B1B"/>
    <w:rsid w:val="004321FC"/>
    <w:rsid w:val="0044517F"/>
    <w:rsid w:val="00451750"/>
    <w:rsid w:val="00462588"/>
    <w:rsid w:val="0046566E"/>
    <w:rsid w:val="004717F5"/>
    <w:rsid w:val="00477161"/>
    <w:rsid w:val="00481EB8"/>
    <w:rsid w:val="004852FA"/>
    <w:rsid w:val="004B3546"/>
    <w:rsid w:val="004B35FD"/>
    <w:rsid w:val="004C53C1"/>
    <w:rsid w:val="004E0177"/>
    <w:rsid w:val="004E162F"/>
    <w:rsid w:val="004E4F5C"/>
    <w:rsid w:val="004F7B8A"/>
    <w:rsid w:val="00500CE7"/>
    <w:rsid w:val="00501AA0"/>
    <w:rsid w:val="00502510"/>
    <w:rsid w:val="005035AA"/>
    <w:rsid w:val="0050620F"/>
    <w:rsid w:val="0051614E"/>
    <w:rsid w:val="00516766"/>
    <w:rsid w:val="00530987"/>
    <w:rsid w:val="00536CF1"/>
    <w:rsid w:val="005402D9"/>
    <w:rsid w:val="00541B95"/>
    <w:rsid w:val="005441D3"/>
    <w:rsid w:val="00545919"/>
    <w:rsid w:val="0055005A"/>
    <w:rsid w:val="00554F8F"/>
    <w:rsid w:val="0056039F"/>
    <w:rsid w:val="0056352F"/>
    <w:rsid w:val="005640C8"/>
    <w:rsid w:val="00585DC7"/>
    <w:rsid w:val="00586062"/>
    <w:rsid w:val="00592932"/>
    <w:rsid w:val="00592C72"/>
    <w:rsid w:val="005931F6"/>
    <w:rsid w:val="005948E2"/>
    <w:rsid w:val="00596E7B"/>
    <w:rsid w:val="005973A6"/>
    <w:rsid w:val="005A4728"/>
    <w:rsid w:val="005B6347"/>
    <w:rsid w:val="005B6D0D"/>
    <w:rsid w:val="005B71F5"/>
    <w:rsid w:val="005C19E0"/>
    <w:rsid w:val="005C674D"/>
    <w:rsid w:val="005E0508"/>
    <w:rsid w:val="005E306B"/>
    <w:rsid w:val="005F20B5"/>
    <w:rsid w:val="005F712C"/>
    <w:rsid w:val="005F79FD"/>
    <w:rsid w:val="0060617A"/>
    <w:rsid w:val="00617BCF"/>
    <w:rsid w:val="00626A3E"/>
    <w:rsid w:val="00651D86"/>
    <w:rsid w:val="00654265"/>
    <w:rsid w:val="00660B13"/>
    <w:rsid w:val="00660DF7"/>
    <w:rsid w:val="0066623D"/>
    <w:rsid w:val="00666E03"/>
    <w:rsid w:val="00684937"/>
    <w:rsid w:val="00694D19"/>
    <w:rsid w:val="006A0266"/>
    <w:rsid w:val="006A1BB2"/>
    <w:rsid w:val="006B0193"/>
    <w:rsid w:val="006B3B92"/>
    <w:rsid w:val="006B68E1"/>
    <w:rsid w:val="006B7BDE"/>
    <w:rsid w:val="006C6193"/>
    <w:rsid w:val="006D6E39"/>
    <w:rsid w:val="006D6F6F"/>
    <w:rsid w:val="006E27E8"/>
    <w:rsid w:val="006F10E8"/>
    <w:rsid w:val="006F3A3F"/>
    <w:rsid w:val="00713E93"/>
    <w:rsid w:val="0071744C"/>
    <w:rsid w:val="00721779"/>
    <w:rsid w:val="0073224C"/>
    <w:rsid w:val="00753117"/>
    <w:rsid w:val="00763930"/>
    <w:rsid w:val="00764563"/>
    <w:rsid w:val="00767A9E"/>
    <w:rsid w:val="00786EE7"/>
    <w:rsid w:val="007A0252"/>
    <w:rsid w:val="007A368F"/>
    <w:rsid w:val="007B040B"/>
    <w:rsid w:val="007B31A3"/>
    <w:rsid w:val="007C4990"/>
    <w:rsid w:val="007D2B6C"/>
    <w:rsid w:val="007F5D91"/>
    <w:rsid w:val="0080545D"/>
    <w:rsid w:val="00810A43"/>
    <w:rsid w:val="00811821"/>
    <w:rsid w:val="00815D77"/>
    <w:rsid w:val="00824194"/>
    <w:rsid w:val="00827CD6"/>
    <w:rsid w:val="0084269F"/>
    <w:rsid w:val="00881226"/>
    <w:rsid w:val="00881448"/>
    <w:rsid w:val="008A4564"/>
    <w:rsid w:val="008C288A"/>
    <w:rsid w:val="008D0011"/>
    <w:rsid w:val="008D7BBE"/>
    <w:rsid w:val="008F36F0"/>
    <w:rsid w:val="008F61F4"/>
    <w:rsid w:val="00902980"/>
    <w:rsid w:val="00902EBB"/>
    <w:rsid w:val="00910EFE"/>
    <w:rsid w:val="00912D5B"/>
    <w:rsid w:val="009140D6"/>
    <w:rsid w:val="00924186"/>
    <w:rsid w:val="0093147A"/>
    <w:rsid w:val="00945B68"/>
    <w:rsid w:val="00947A2D"/>
    <w:rsid w:val="00947DBF"/>
    <w:rsid w:val="00953189"/>
    <w:rsid w:val="00957D31"/>
    <w:rsid w:val="00962ABE"/>
    <w:rsid w:val="00972232"/>
    <w:rsid w:val="009745BC"/>
    <w:rsid w:val="00975B06"/>
    <w:rsid w:val="009849A8"/>
    <w:rsid w:val="009865D4"/>
    <w:rsid w:val="009907E9"/>
    <w:rsid w:val="009A406D"/>
    <w:rsid w:val="009A720A"/>
    <w:rsid w:val="009B3872"/>
    <w:rsid w:val="009B6AA8"/>
    <w:rsid w:val="009B7A96"/>
    <w:rsid w:val="009B7D88"/>
    <w:rsid w:val="009B7FD9"/>
    <w:rsid w:val="009F17D5"/>
    <w:rsid w:val="00A00059"/>
    <w:rsid w:val="00A326C3"/>
    <w:rsid w:val="00A42787"/>
    <w:rsid w:val="00A54836"/>
    <w:rsid w:val="00A60747"/>
    <w:rsid w:val="00A749EF"/>
    <w:rsid w:val="00A75ABF"/>
    <w:rsid w:val="00A7635E"/>
    <w:rsid w:val="00A76A60"/>
    <w:rsid w:val="00A833C8"/>
    <w:rsid w:val="00A85870"/>
    <w:rsid w:val="00A94E39"/>
    <w:rsid w:val="00AA3935"/>
    <w:rsid w:val="00AB489F"/>
    <w:rsid w:val="00AC7113"/>
    <w:rsid w:val="00AD5712"/>
    <w:rsid w:val="00AD7F82"/>
    <w:rsid w:val="00AE286A"/>
    <w:rsid w:val="00AE5416"/>
    <w:rsid w:val="00AE5DD8"/>
    <w:rsid w:val="00AF0BED"/>
    <w:rsid w:val="00B07453"/>
    <w:rsid w:val="00B1045A"/>
    <w:rsid w:val="00B17DFD"/>
    <w:rsid w:val="00B201A7"/>
    <w:rsid w:val="00B23382"/>
    <w:rsid w:val="00B234BC"/>
    <w:rsid w:val="00B24FC3"/>
    <w:rsid w:val="00B27952"/>
    <w:rsid w:val="00B311E8"/>
    <w:rsid w:val="00B3423D"/>
    <w:rsid w:val="00B45761"/>
    <w:rsid w:val="00B50277"/>
    <w:rsid w:val="00B51A21"/>
    <w:rsid w:val="00B53A6F"/>
    <w:rsid w:val="00B67896"/>
    <w:rsid w:val="00B701B6"/>
    <w:rsid w:val="00B756CC"/>
    <w:rsid w:val="00B82F0E"/>
    <w:rsid w:val="00B8380F"/>
    <w:rsid w:val="00BA62CD"/>
    <w:rsid w:val="00BB0C69"/>
    <w:rsid w:val="00BC1214"/>
    <w:rsid w:val="00BC7BFE"/>
    <w:rsid w:val="00BD0801"/>
    <w:rsid w:val="00BD10B5"/>
    <w:rsid w:val="00BE6F00"/>
    <w:rsid w:val="00BF1E95"/>
    <w:rsid w:val="00C07C93"/>
    <w:rsid w:val="00C10857"/>
    <w:rsid w:val="00C11FB6"/>
    <w:rsid w:val="00C13838"/>
    <w:rsid w:val="00C2654A"/>
    <w:rsid w:val="00C276BE"/>
    <w:rsid w:val="00C27AE9"/>
    <w:rsid w:val="00C30182"/>
    <w:rsid w:val="00C3195C"/>
    <w:rsid w:val="00C434B6"/>
    <w:rsid w:val="00C54F30"/>
    <w:rsid w:val="00C558AC"/>
    <w:rsid w:val="00C57464"/>
    <w:rsid w:val="00C63EFB"/>
    <w:rsid w:val="00C74A27"/>
    <w:rsid w:val="00C851B2"/>
    <w:rsid w:val="00C86266"/>
    <w:rsid w:val="00C86EE5"/>
    <w:rsid w:val="00C92F3D"/>
    <w:rsid w:val="00CA7044"/>
    <w:rsid w:val="00CC39A1"/>
    <w:rsid w:val="00CC4CD5"/>
    <w:rsid w:val="00CC722D"/>
    <w:rsid w:val="00CD4A38"/>
    <w:rsid w:val="00CD5AE3"/>
    <w:rsid w:val="00CE3E1B"/>
    <w:rsid w:val="00CE6A4B"/>
    <w:rsid w:val="00CE6BB5"/>
    <w:rsid w:val="00CF24EF"/>
    <w:rsid w:val="00D056A3"/>
    <w:rsid w:val="00D22048"/>
    <w:rsid w:val="00D242C2"/>
    <w:rsid w:val="00D37FA2"/>
    <w:rsid w:val="00D466D8"/>
    <w:rsid w:val="00D52549"/>
    <w:rsid w:val="00D57E1B"/>
    <w:rsid w:val="00D70029"/>
    <w:rsid w:val="00D714FA"/>
    <w:rsid w:val="00D74D59"/>
    <w:rsid w:val="00D84E6D"/>
    <w:rsid w:val="00DA03B2"/>
    <w:rsid w:val="00DA2D2A"/>
    <w:rsid w:val="00DD291F"/>
    <w:rsid w:val="00DD4BE7"/>
    <w:rsid w:val="00DE7AF4"/>
    <w:rsid w:val="00DF0115"/>
    <w:rsid w:val="00DF2079"/>
    <w:rsid w:val="00DF7574"/>
    <w:rsid w:val="00DF7F8F"/>
    <w:rsid w:val="00E00139"/>
    <w:rsid w:val="00E05ED5"/>
    <w:rsid w:val="00E45180"/>
    <w:rsid w:val="00E66031"/>
    <w:rsid w:val="00E66472"/>
    <w:rsid w:val="00E72461"/>
    <w:rsid w:val="00E82139"/>
    <w:rsid w:val="00E843B6"/>
    <w:rsid w:val="00E93AD6"/>
    <w:rsid w:val="00EA00DA"/>
    <w:rsid w:val="00EA6699"/>
    <w:rsid w:val="00EB1156"/>
    <w:rsid w:val="00EB3217"/>
    <w:rsid w:val="00EB5035"/>
    <w:rsid w:val="00EF15F9"/>
    <w:rsid w:val="00EF22E4"/>
    <w:rsid w:val="00F001C1"/>
    <w:rsid w:val="00F24085"/>
    <w:rsid w:val="00F2429E"/>
    <w:rsid w:val="00F279E0"/>
    <w:rsid w:val="00F327A3"/>
    <w:rsid w:val="00F349D9"/>
    <w:rsid w:val="00F37528"/>
    <w:rsid w:val="00F45463"/>
    <w:rsid w:val="00F5254C"/>
    <w:rsid w:val="00F55423"/>
    <w:rsid w:val="00F7294E"/>
    <w:rsid w:val="00F72C19"/>
    <w:rsid w:val="00F753C8"/>
    <w:rsid w:val="00F75824"/>
    <w:rsid w:val="00F76883"/>
    <w:rsid w:val="00F80721"/>
    <w:rsid w:val="00F91DD3"/>
    <w:rsid w:val="00F946BA"/>
    <w:rsid w:val="00F96DA4"/>
    <w:rsid w:val="00F97F5F"/>
    <w:rsid w:val="00FB51F2"/>
    <w:rsid w:val="00FC3DF4"/>
    <w:rsid w:val="00FC4728"/>
    <w:rsid w:val="00FE2558"/>
    <w:rsid w:val="00FE7182"/>
    <w:rsid w:val="00FF1F77"/>
    <w:rsid w:val="00FF396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5F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83145">
      <w:bodyDiv w:val="1"/>
      <w:marLeft w:val="0"/>
      <w:marRight w:val="0"/>
      <w:marTop w:val="0"/>
      <w:marBottom w:val="0"/>
      <w:divBdr>
        <w:top w:val="none" w:sz="0" w:space="0" w:color="auto"/>
        <w:left w:val="none" w:sz="0" w:space="0" w:color="auto"/>
        <w:bottom w:val="none" w:sz="0" w:space="0" w:color="auto"/>
        <w:right w:val="none" w:sz="0" w:space="0" w:color="auto"/>
      </w:divBdr>
    </w:div>
    <w:div w:id="16084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8E11-A534-474D-A67B-4E55FF9B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5491</Words>
  <Characters>3131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Стадник Марина Вікторівна</cp:lastModifiedBy>
  <cp:revision>169</cp:revision>
  <cp:lastPrinted>2021-06-29T09:59:00Z</cp:lastPrinted>
  <dcterms:created xsi:type="dcterms:W3CDTF">2020-02-07T09:35:00Z</dcterms:created>
  <dcterms:modified xsi:type="dcterms:W3CDTF">2021-06-29T11:32:00Z</dcterms:modified>
</cp:coreProperties>
</file>