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A16" w:rsidRPr="008C5B63" w:rsidRDefault="00A05A16" w:rsidP="008C5B63">
      <w:pPr>
        <w:shd w:val="clear" w:color="auto" w:fill="FFFFFF"/>
        <w:spacing w:line="300" w:lineRule="auto"/>
        <w:ind w:firstLine="567"/>
        <w:jc w:val="center"/>
        <w:rPr>
          <w:sz w:val="28"/>
          <w:szCs w:val="28"/>
          <w:lang w:val="uk-UA"/>
        </w:rPr>
      </w:pPr>
      <w:bookmarkStart w:id="0" w:name="_GoBack"/>
      <w:bookmarkEnd w:id="0"/>
      <w:r w:rsidRPr="008C5B63">
        <w:rPr>
          <w:b/>
          <w:bCs/>
          <w:sz w:val="28"/>
          <w:szCs w:val="28"/>
          <w:lang w:val="uk-UA"/>
        </w:rPr>
        <w:t>ПОЯСНЮВАЛЬНА ЗАПИСКА</w:t>
      </w:r>
    </w:p>
    <w:p w:rsidR="00A05A16" w:rsidRPr="008C5B63" w:rsidRDefault="007A5A29" w:rsidP="008C5B63">
      <w:pPr>
        <w:shd w:val="clear" w:color="auto" w:fill="FFFFFF"/>
        <w:spacing w:line="300" w:lineRule="auto"/>
        <w:ind w:firstLine="567"/>
        <w:jc w:val="center"/>
        <w:rPr>
          <w:b/>
          <w:sz w:val="28"/>
          <w:szCs w:val="28"/>
          <w:lang w:val="uk-UA"/>
        </w:rPr>
      </w:pPr>
      <w:r w:rsidRPr="008C5B63">
        <w:rPr>
          <w:b/>
          <w:sz w:val="28"/>
          <w:szCs w:val="28"/>
          <w:lang w:val="uk-UA"/>
        </w:rPr>
        <w:t>«Про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щодо започаткування реальної судової реформи в частині забезпечення єдності судової практики та рівності учасників судових проваджень перед законом»</w:t>
      </w:r>
    </w:p>
    <w:p w:rsidR="007A5A29" w:rsidRPr="008C5B63" w:rsidRDefault="007A5A29" w:rsidP="008C5B63">
      <w:pPr>
        <w:shd w:val="clear" w:color="auto" w:fill="FFFFFF"/>
        <w:spacing w:line="300" w:lineRule="auto"/>
        <w:ind w:firstLine="567"/>
        <w:jc w:val="both"/>
        <w:rPr>
          <w:sz w:val="28"/>
          <w:szCs w:val="28"/>
          <w:lang w:val="uk-UA"/>
        </w:rPr>
      </w:pPr>
    </w:p>
    <w:p w:rsidR="007A5A29" w:rsidRPr="008C5B63" w:rsidRDefault="00A05A16" w:rsidP="008C5B63">
      <w:pPr>
        <w:numPr>
          <w:ilvl w:val="0"/>
          <w:numId w:val="2"/>
        </w:numPr>
        <w:shd w:val="clear" w:color="auto" w:fill="FFFFFF"/>
        <w:spacing w:line="300" w:lineRule="auto"/>
        <w:jc w:val="both"/>
        <w:rPr>
          <w:b/>
          <w:bCs/>
          <w:sz w:val="28"/>
          <w:szCs w:val="28"/>
          <w:lang w:val="uk-UA"/>
        </w:rPr>
      </w:pPr>
      <w:r w:rsidRPr="008C5B63">
        <w:rPr>
          <w:b/>
          <w:bCs/>
          <w:sz w:val="28"/>
          <w:szCs w:val="28"/>
          <w:lang w:val="uk-UA"/>
        </w:rPr>
        <w:t>Обґрунтування необхідності прийняття законопроекту</w:t>
      </w:r>
    </w:p>
    <w:p w:rsidR="00DE5097" w:rsidRPr="008C5B63" w:rsidRDefault="00E608E2" w:rsidP="008C5B63">
      <w:pPr>
        <w:pStyle w:val="ac"/>
        <w:spacing w:before="0" w:beforeAutospacing="0" w:after="0" w:afterAutospacing="0" w:line="276" w:lineRule="auto"/>
        <w:ind w:firstLine="567"/>
        <w:jc w:val="both"/>
        <w:textAlignment w:val="baseline"/>
        <w:rPr>
          <w:color w:val="000000"/>
          <w:sz w:val="28"/>
          <w:szCs w:val="28"/>
          <w:lang w:val="uk-UA"/>
        </w:rPr>
      </w:pPr>
      <w:r w:rsidRPr="008C5B63">
        <w:rPr>
          <w:color w:val="000000"/>
          <w:sz w:val="28"/>
          <w:szCs w:val="28"/>
          <w:lang w:val="uk-UA"/>
        </w:rPr>
        <w:t>Однією з ключових передумов реформування судової системи є забезпечення єдності судової практики.</w:t>
      </w:r>
      <w:r w:rsidR="00DE5097" w:rsidRPr="008C5B63">
        <w:rPr>
          <w:color w:val="000000"/>
          <w:sz w:val="28"/>
          <w:szCs w:val="28"/>
          <w:lang w:val="uk-UA"/>
        </w:rPr>
        <w:t xml:space="preserve"> </w:t>
      </w:r>
      <w:r w:rsidR="00DE5097" w:rsidRPr="008C5B63">
        <w:rPr>
          <w:color w:val="2F2F2F"/>
          <w:sz w:val="28"/>
          <w:szCs w:val="28"/>
          <w:shd w:val="clear" w:color="auto" w:fill="FFFFFF"/>
          <w:lang w:val="uk-UA"/>
        </w:rPr>
        <w:t>Єдність судової практики – ключова засада здійснення судочинства. У провідних демократичних державах її утвердженню та засобам забезпечення на законодавчому рівні приділяється першорядна увага. Саме єдність судової практики сприяє реалізації правовим принципам передбачуваності, верховенству права, ефективному захисту прав людини.</w:t>
      </w:r>
    </w:p>
    <w:p w:rsidR="005B672E" w:rsidRPr="008C5B63" w:rsidRDefault="00E608E2" w:rsidP="008C5B63">
      <w:pPr>
        <w:pStyle w:val="ac"/>
        <w:spacing w:before="0" w:beforeAutospacing="0" w:after="0" w:afterAutospacing="0" w:line="276" w:lineRule="auto"/>
        <w:ind w:firstLine="567"/>
        <w:jc w:val="both"/>
        <w:textAlignment w:val="baseline"/>
        <w:rPr>
          <w:color w:val="000000"/>
          <w:sz w:val="28"/>
          <w:szCs w:val="28"/>
          <w:lang w:val="uk-UA"/>
        </w:rPr>
      </w:pPr>
      <w:r w:rsidRPr="008C5B63">
        <w:rPr>
          <w:color w:val="000000"/>
          <w:sz w:val="28"/>
          <w:szCs w:val="28"/>
          <w:lang w:val="uk-UA"/>
        </w:rPr>
        <w:t>Зав</w:t>
      </w:r>
      <w:r w:rsidRPr="008C5B63">
        <w:rPr>
          <w:color w:val="000000"/>
          <w:sz w:val="28"/>
          <w:szCs w:val="28"/>
          <w:lang w:val="uk-UA"/>
        </w:rPr>
        <w:softHyphen/>
        <w:t xml:space="preserve">дання забезпечувати єдність судової практики покладене на </w:t>
      </w:r>
      <w:r w:rsidR="005B672E" w:rsidRPr="008C5B63">
        <w:rPr>
          <w:color w:val="000000"/>
          <w:sz w:val="28"/>
          <w:szCs w:val="28"/>
          <w:lang w:val="uk-UA"/>
        </w:rPr>
        <w:t>Верховний Суд як найвищ</w:t>
      </w:r>
      <w:r w:rsidRPr="008C5B63">
        <w:rPr>
          <w:color w:val="000000"/>
          <w:sz w:val="28"/>
          <w:szCs w:val="28"/>
          <w:lang w:val="uk-UA"/>
        </w:rPr>
        <w:t>у</w:t>
      </w:r>
      <w:r w:rsidR="005B672E" w:rsidRPr="008C5B63">
        <w:rPr>
          <w:color w:val="000000"/>
          <w:sz w:val="28"/>
          <w:szCs w:val="28"/>
          <w:lang w:val="uk-UA"/>
        </w:rPr>
        <w:t xml:space="preserve"> судов</w:t>
      </w:r>
      <w:r w:rsidRPr="008C5B63">
        <w:rPr>
          <w:color w:val="000000"/>
          <w:sz w:val="28"/>
          <w:szCs w:val="28"/>
          <w:lang w:val="uk-UA"/>
        </w:rPr>
        <w:t>у</w:t>
      </w:r>
      <w:r w:rsidR="005B672E" w:rsidRPr="008C5B63">
        <w:rPr>
          <w:color w:val="000000"/>
          <w:sz w:val="28"/>
          <w:szCs w:val="28"/>
          <w:lang w:val="uk-UA"/>
        </w:rPr>
        <w:t xml:space="preserve"> установ</w:t>
      </w:r>
      <w:r w:rsidRPr="008C5B63">
        <w:rPr>
          <w:color w:val="000000"/>
          <w:sz w:val="28"/>
          <w:szCs w:val="28"/>
          <w:lang w:val="uk-UA"/>
        </w:rPr>
        <w:t>у</w:t>
      </w:r>
      <w:r w:rsidR="005B672E" w:rsidRPr="008C5B63">
        <w:rPr>
          <w:color w:val="000000"/>
          <w:sz w:val="28"/>
          <w:szCs w:val="28"/>
          <w:lang w:val="uk-UA"/>
        </w:rPr>
        <w:t xml:space="preserve"> в системі судів загальної юрисдикції.</w:t>
      </w:r>
      <w:r w:rsidR="00DE5097" w:rsidRPr="008C5B63">
        <w:rPr>
          <w:color w:val="000000"/>
          <w:sz w:val="28"/>
          <w:szCs w:val="28"/>
          <w:lang w:val="uk-UA"/>
        </w:rPr>
        <w:t xml:space="preserve"> </w:t>
      </w:r>
      <w:r w:rsidR="005B672E" w:rsidRPr="008C5B63">
        <w:rPr>
          <w:color w:val="000000"/>
          <w:sz w:val="28"/>
          <w:szCs w:val="28"/>
          <w:lang w:val="uk-UA"/>
        </w:rPr>
        <w:t>Для цього у Верховного Суду є закріплені законодавчо інструменти. Однак, як свідчить досвід, їх украй недостатньо, щоб забезпечити однакове застосування норм права всіма судами на всій території України.</w:t>
      </w:r>
      <w:r w:rsidR="00DE5097" w:rsidRPr="008C5B63">
        <w:rPr>
          <w:color w:val="000000"/>
          <w:sz w:val="28"/>
          <w:szCs w:val="28"/>
          <w:lang w:val="uk-UA"/>
        </w:rPr>
        <w:t xml:space="preserve"> </w:t>
      </w:r>
      <w:r w:rsidR="008C5B63">
        <w:rPr>
          <w:color w:val="000000"/>
          <w:sz w:val="28"/>
          <w:szCs w:val="28"/>
          <w:lang w:val="uk-UA"/>
        </w:rPr>
        <w:t xml:space="preserve">Досить </w:t>
      </w:r>
      <w:r w:rsidR="00DE5097" w:rsidRPr="008C5B63">
        <w:rPr>
          <w:color w:val="000000"/>
          <w:sz w:val="28"/>
          <w:szCs w:val="28"/>
          <w:lang w:val="uk-UA"/>
        </w:rPr>
        <w:t>ч</w:t>
      </w:r>
      <w:r w:rsidR="0029595D" w:rsidRPr="008C5B63">
        <w:rPr>
          <w:color w:val="000000"/>
          <w:sz w:val="28"/>
          <w:szCs w:val="28"/>
          <w:lang w:val="uk-UA"/>
        </w:rPr>
        <w:t>асто</w:t>
      </w:r>
      <w:r w:rsidR="005B672E" w:rsidRPr="008C5B63">
        <w:rPr>
          <w:color w:val="000000"/>
          <w:sz w:val="28"/>
          <w:szCs w:val="28"/>
          <w:lang w:val="uk-UA"/>
        </w:rPr>
        <w:t xml:space="preserve"> суд</w:t>
      </w:r>
      <w:r w:rsidR="0029595D" w:rsidRPr="008C5B63">
        <w:rPr>
          <w:color w:val="000000"/>
          <w:sz w:val="28"/>
          <w:szCs w:val="28"/>
          <w:lang w:val="uk-UA"/>
        </w:rPr>
        <w:t>и</w:t>
      </w:r>
      <w:r w:rsidR="005B672E" w:rsidRPr="008C5B63">
        <w:rPr>
          <w:color w:val="000000"/>
          <w:sz w:val="28"/>
          <w:szCs w:val="28"/>
          <w:lang w:val="uk-UA"/>
        </w:rPr>
        <w:t xml:space="preserve"> нижчого рівня </w:t>
      </w:r>
      <w:r w:rsidR="0029595D" w:rsidRPr="008C5B63">
        <w:rPr>
          <w:color w:val="000000"/>
          <w:sz w:val="28"/>
          <w:szCs w:val="28"/>
          <w:lang w:val="uk-UA"/>
        </w:rPr>
        <w:t xml:space="preserve">взагалі </w:t>
      </w:r>
      <w:r w:rsidR="005B672E" w:rsidRPr="008C5B63">
        <w:rPr>
          <w:color w:val="000000"/>
          <w:sz w:val="28"/>
          <w:szCs w:val="28"/>
          <w:lang w:val="uk-UA"/>
        </w:rPr>
        <w:t>ігнорують</w:t>
      </w:r>
      <w:r w:rsidR="00DE5097" w:rsidRPr="008C5B63">
        <w:rPr>
          <w:color w:val="000000"/>
          <w:sz w:val="28"/>
          <w:szCs w:val="28"/>
          <w:lang w:val="uk-UA"/>
        </w:rPr>
        <w:t xml:space="preserve"> та</w:t>
      </w:r>
      <w:r w:rsidR="005B672E" w:rsidRPr="008C5B63">
        <w:rPr>
          <w:color w:val="000000"/>
          <w:sz w:val="28"/>
          <w:szCs w:val="28"/>
          <w:lang w:val="uk-UA"/>
        </w:rPr>
        <w:t xml:space="preserve"> нехтують правов</w:t>
      </w:r>
      <w:r w:rsidR="008C5B63">
        <w:rPr>
          <w:color w:val="000000"/>
          <w:sz w:val="28"/>
          <w:szCs w:val="28"/>
          <w:lang w:val="uk-UA"/>
        </w:rPr>
        <w:t>ими</w:t>
      </w:r>
      <w:r w:rsidR="005B672E" w:rsidRPr="008C5B63">
        <w:rPr>
          <w:color w:val="000000"/>
          <w:sz w:val="28"/>
          <w:szCs w:val="28"/>
          <w:lang w:val="uk-UA"/>
        </w:rPr>
        <w:t xml:space="preserve"> висновк</w:t>
      </w:r>
      <w:r w:rsidR="008C5B63">
        <w:rPr>
          <w:color w:val="000000"/>
          <w:sz w:val="28"/>
          <w:szCs w:val="28"/>
          <w:lang w:val="uk-UA"/>
        </w:rPr>
        <w:t>ами</w:t>
      </w:r>
      <w:r w:rsidR="005B672E" w:rsidRPr="008C5B63">
        <w:rPr>
          <w:color w:val="000000"/>
          <w:sz w:val="28"/>
          <w:szCs w:val="28"/>
          <w:lang w:val="uk-UA"/>
        </w:rPr>
        <w:t xml:space="preserve"> </w:t>
      </w:r>
      <w:r w:rsidR="0029595D" w:rsidRPr="008C5B63">
        <w:rPr>
          <w:color w:val="000000"/>
          <w:sz w:val="28"/>
          <w:szCs w:val="28"/>
          <w:lang w:val="uk-UA"/>
        </w:rPr>
        <w:t>Верховного Суду</w:t>
      </w:r>
      <w:r w:rsidR="005B672E" w:rsidRPr="008C5B63">
        <w:rPr>
          <w:color w:val="000000"/>
          <w:sz w:val="28"/>
          <w:szCs w:val="28"/>
          <w:lang w:val="uk-UA"/>
        </w:rPr>
        <w:t xml:space="preserve">. </w:t>
      </w:r>
      <w:r w:rsidR="006C04B8" w:rsidRPr="008C5B63">
        <w:rPr>
          <w:color w:val="000000"/>
          <w:sz w:val="28"/>
          <w:szCs w:val="28"/>
          <w:lang w:val="uk-UA"/>
        </w:rPr>
        <w:t>Необхідн</w:t>
      </w:r>
      <w:r w:rsidR="008C5B63">
        <w:rPr>
          <w:color w:val="000000"/>
          <w:sz w:val="28"/>
          <w:szCs w:val="28"/>
          <w:lang w:val="uk-UA"/>
        </w:rPr>
        <w:t>о</w:t>
      </w:r>
      <w:r w:rsidR="006C04B8" w:rsidRPr="008C5B63">
        <w:rPr>
          <w:color w:val="000000"/>
          <w:sz w:val="28"/>
          <w:szCs w:val="28"/>
          <w:lang w:val="uk-UA"/>
        </w:rPr>
        <w:t xml:space="preserve"> </w:t>
      </w:r>
      <w:r w:rsidR="00DE5097" w:rsidRPr="008C5B63">
        <w:rPr>
          <w:color w:val="000000"/>
          <w:sz w:val="28"/>
          <w:szCs w:val="28"/>
          <w:lang w:val="uk-UA"/>
        </w:rPr>
        <w:t xml:space="preserve">визначити </w:t>
      </w:r>
      <w:r w:rsidR="005B672E" w:rsidRPr="008C5B63">
        <w:rPr>
          <w:color w:val="000000"/>
          <w:sz w:val="28"/>
          <w:szCs w:val="28"/>
          <w:lang w:val="uk-UA"/>
        </w:rPr>
        <w:t xml:space="preserve">в законі, що </w:t>
      </w:r>
      <w:r w:rsidRPr="008C5B63">
        <w:rPr>
          <w:color w:val="000000"/>
          <w:sz w:val="28"/>
          <w:szCs w:val="28"/>
          <w:lang w:val="uk-UA"/>
        </w:rPr>
        <w:t xml:space="preserve">суди не можуть відходити від правової позиції Верховного Суду, викладеної в його </w:t>
      </w:r>
      <w:r w:rsidR="00DE5097" w:rsidRPr="008C5B63">
        <w:rPr>
          <w:color w:val="000000"/>
          <w:sz w:val="28"/>
          <w:szCs w:val="28"/>
          <w:lang w:val="uk-UA"/>
        </w:rPr>
        <w:t>рішеннях</w:t>
      </w:r>
      <w:r w:rsidRPr="008C5B63">
        <w:rPr>
          <w:color w:val="000000"/>
          <w:sz w:val="28"/>
          <w:szCs w:val="28"/>
          <w:lang w:val="uk-UA"/>
        </w:rPr>
        <w:t xml:space="preserve">, а також, що </w:t>
      </w:r>
      <w:r w:rsidR="005B672E" w:rsidRPr="008C5B63">
        <w:rPr>
          <w:color w:val="000000"/>
          <w:sz w:val="28"/>
          <w:szCs w:val="28"/>
          <w:lang w:val="uk-UA"/>
        </w:rPr>
        <w:t xml:space="preserve">однією з підстав оскарження рішення суду є </w:t>
      </w:r>
      <w:r w:rsidRPr="008C5B63">
        <w:rPr>
          <w:color w:val="000000"/>
          <w:sz w:val="28"/>
          <w:szCs w:val="28"/>
          <w:lang w:val="uk-UA"/>
        </w:rPr>
        <w:t xml:space="preserve">його </w:t>
      </w:r>
      <w:r w:rsidR="005B672E" w:rsidRPr="008C5B63">
        <w:rPr>
          <w:color w:val="000000"/>
          <w:sz w:val="28"/>
          <w:szCs w:val="28"/>
          <w:lang w:val="uk-UA"/>
        </w:rPr>
        <w:t>невідповідність правов</w:t>
      </w:r>
      <w:r w:rsidRPr="008C5B63">
        <w:rPr>
          <w:color w:val="000000"/>
          <w:sz w:val="28"/>
          <w:szCs w:val="28"/>
          <w:lang w:val="uk-UA"/>
        </w:rPr>
        <w:t>ій</w:t>
      </w:r>
      <w:r w:rsidR="005B672E" w:rsidRPr="008C5B63">
        <w:rPr>
          <w:color w:val="000000"/>
          <w:sz w:val="28"/>
          <w:szCs w:val="28"/>
          <w:lang w:val="uk-UA"/>
        </w:rPr>
        <w:t xml:space="preserve"> </w:t>
      </w:r>
      <w:r w:rsidRPr="008C5B63">
        <w:rPr>
          <w:color w:val="000000"/>
          <w:sz w:val="28"/>
          <w:szCs w:val="28"/>
          <w:lang w:val="uk-UA"/>
        </w:rPr>
        <w:t>позиції Верховного Суду</w:t>
      </w:r>
      <w:r w:rsidR="005B672E" w:rsidRPr="008C5B63">
        <w:rPr>
          <w:color w:val="000000"/>
          <w:sz w:val="28"/>
          <w:szCs w:val="28"/>
          <w:lang w:val="uk-UA"/>
        </w:rPr>
        <w:t>.</w:t>
      </w:r>
    </w:p>
    <w:p w:rsidR="006C04B8" w:rsidRPr="008C5B63" w:rsidRDefault="006C04B8" w:rsidP="008C5B63">
      <w:pPr>
        <w:pStyle w:val="af"/>
        <w:spacing w:before="0" w:line="276" w:lineRule="auto"/>
        <w:rPr>
          <w:rFonts w:ascii="Times New Roman" w:hAnsi="Times New Roman"/>
          <w:sz w:val="28"/>
          <w:szCs w:val="28"/>
        </w:rPr>
      </w:pPr>
      <w:r w:rsidRPr="008C5B63">
        <w:rPr>
          <w:rFonts w:ascii="Times New Roman" w:hAnsi="Times New Roman"/>
          <w:sz w:val="28"/>
          <w:szCs w:val="28"/>
        </w:rPr>
        <w:t>Очевидно, що суди зобов’язані застосовувати правові норми у відповідності з правовими позиціями, викладеними у постановах Верховного Суду, щодо застосування закону за подібних обставин. При виборі і застосуванні норми права суд має враховувати правові позиції, викладені в постановах Верховного Суду, щодо застосування закону за подібних обставин. У разі якщо на час ухвалення рішення існує декілька відповідних правових позицій Верховного Суду, які є різними, суд має обрати ту правову позицію, яка, на його думку, найбільш відповідає спірним правовідносинам. При цьому у рішенні суд зобов’язаний зазначити про існування іншої правової позиції Верховного Суду щодо застосування закону за подібних обставин та вказати підстави, з яких він з нею не погоджується.</w:t>
      </w:r>
    </w:p>
    <w:p w:rsidR="006C04B8" w:rsidRPr="008C5B63" w:rsidRDefault="006C04B8" w:rsidP="008C5B63">
      <w:pPr>
        <w:shd w:val="clear" w:color="auto" w:fill="FFFFFF"/>
        <w:spacing w:line="276" w:lineRule="auto"/>
        <w:ind w:firstLine="567"/>
        <w:jc w:val="both"/>
        <w:rPr>
          <w:sz w:val="28"/>
          <w:szCs w:val="28"/>
          <w:lang w:val="uk-UA"/>
        </w:rPr>
      </w:pPr>
      <w:r w:rsidRPr="008C5B63">
        <w:rPr>
          <w:sz w:val="28"/>
          <w:szCs w:val="28"/>
          <w:lang w:val="uk-UA"/>
        </w:rPr>
        <w:t>Суперечливі рішення не можуть відповідати закону, оскільки лише одностайне трактування і розуміння закону за однотипними казусами може бути істинним. На ж</w:t>
      </w:r>
      <w:r w:rsidR="008C5B63">
        <w:rPr>
          <w:sz w:val="28"/>
          <w:szCs w:val="28"/>
          <w:lang w:val="uk-UA"/>
        </w:rPr>
        <w:t>а</w:t>
      </w:r>
      <w:r w:rsidRPr="008C5B63">
        <w:rPr>
          <w:sz w:val="28"/>
          <w:szCs w:val="28"/>
          <w:lang w:val="uk-UA"/>
        </w:rPr>
        <w:t xml:space="preserve">ль, приймаючи різні суперечливі рішення з однотипних правових </w:t>
      </w:r>
      <w:r w:rsidRPr="008C5B63">
        <w:rPr>
          <w:sz w:val="28"/>
          <w:szCs w:val="28"/>
          <w:lang w:val="uk-UA"/>
        </w:rPr>
        <w:lastRenderedPageBreak/>
        <w:t>питань, суди діють не на законних підставах, підмінюють закон власними ідеями й волею окремих суддів.</w:t>
      </w:r>
    </w:p>
    <w:p w:rsidR="006C04B8" w:rsidRPr="008C5B63" w:rsidRDefault="008C1CB4" w:rsidP="008C5B63">
      <w:pPr>
        <w:shd w:val="clear" w:color="auto" w:fill="FFFFFF"/>
        <w:spacing w:line="276" w:lineRule="auto"/>
        <w:ind w:firstLine="567"/>
        <w:jc w:val="both"/>
        <w:rPr>
          <w:sz w:val="28"/>
          <w:szCs w:val="28"/>
          <w:lang w:val="uk-UA"/>
        </w:rPr>
      </w:pPr>
      <w:r w:rsidRPr="008C5B63">
        <w:rPr>
          <w:sz w:val="28"/>
          <w:szCs w:val="28"/>
          <w:lang w:val="uk-UA"/>
        </w:rPr>
        <w:t>З огляду на викладене, розроблено проект</w:t>
      </w:r>
      <w:r w:rsidR="006C04B8" w:rsidRPr="008C5B63">
        <w:rPr>
          <w:sz w:val="28"/>
          <w:szCs w:val="28"/>
          <w:lang w:val="uk-UA"/>
        </w:rPr>
        <w:t>и</w:t>
      </w:r>
      <w:r w:rsidRPr="008C5B63">
        <w:rPr>
          <w:sz w:val="28"/>
          <w:szCs w:val="28"/>
          <w:lang w:val="uk-UA"/>
        </w:rPr>
        <w:t xml:space="preserve"> Закон</w:t>
      </w:r>
      <w:r w:rsidR="006C04B8" w:rsidRPr="008C5B63">
        <w:rPr>
          <w:sz w:val="28"/>
          <w:szCs w:val="28"/>
          <w:lang w:val="uk-UA"/>
        </w:rPr>
        <w:t>ів</w:t>
      </w:r>
      <w:r w:rsidRPr="008C5B63">
        <w:rPr>
          <w:sz w:val="28"/>
          <w:szCs w:val="28"/>
          <w:lang w:val="uk-UA"/>
        </w:rPr>
        <w:t xml:space="preserve"> України </w:t>
      </w:r>
      <w:r w:rsidR="006C04B8" w:rsidRPr="008C5B63">
        <w:rPr>
          <w:sz w:val="28"/>
          <w:szCs w:val="28"/>
          <w:lang w:val="uk-UA"/>
        </w:rPr>
        <w:t>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w:t>
      </w:r>
      <w:r w:rsidR="008C5B63">
        <w:rPr>
          <w:sz w:val="28"/>
          <w:szCs w:val="28"/>
          <w:lang w:val="uk-UA"/>
        </w:rPr>
        <w:t xml:space="preserve"> та </w:t>
      </w:r>
      <w:r w:rsidR="006C04B8" w:rsidRPr="008C5B63">
        <w:rPr>
          <w:sz w:val="28"/>
          <w:szCs w:val="28"/>
          <w:lang w:val="uk-UA"/>
        </w:rPr>
        <w:t>Кримінального процесуального кодексу, Кодексу України про адміністративні правопорушення щодо започаткування реальної судової реформи в частині забезпечення єдності судової практики та рівності учасників судових проваджень перед законом</w:t>
      </w:r>
      <w:r w:rsidR="008C5B63">
        <w:rPr>
          <w:sz w:val="28"/>
          <w:szCs w:val="28"/>
          <w:lang w:val="uk-UA"/>
        </w:rPr>
        <w:t>.</w:t>
      </w:r>
    </w:p>
    <w:p w:rsidR="000618AF" w:rsidRPr="008C5B63" w:rsidRDefault="000618AF" w:rsidP="008C5B63">
      <w:pPr>
        <w:shd w:val="clear" w:color="auto" w:fill="FFFFFF"/>
        <w:spacing w:line="300" w:lineRule="auto"/>
        <w:ind w:firstLine="567"/>
        <w:jc w:val="both"/>
        <w:rPr>
          <w:b/>
          <w:bCs/>
          <w:sz w:val="28"/>
          <w:szCs w:val="28"/>
          <w:lang w:val="uk-UA"/>
        </w:rPr>
      </w:pPr>
    </w:p>
    <w:p w:rsidR="00FA6739" w:rsidRPr="008C5B63" w:rsidRDefault="00A05A16" w:rsidP="008C5B63">
      <w:pPr>
        <w:shd w:val="clear" w:color="auto" w:fill="FFFFFF"/>
        <w:spacing w:line="300" w:lineRule="auto"/>
        <w:ind w:firstLine="567"/>
        <w:jc w:val="both"/>
        <w:rPr>
          <w:sz w:val="28"/>
          <w:szCs w:val="28"/>
          <w:lang w:val="uk-UA"/>
        </w:rPr>
      </w:pPr>
      <w:r w:rsidRPr="008C5B63">
        <w:rPr>
          <w:b/>
          <w:bCs/>
          <w:sz w:val="28"/>
          <w:szCs w:val="28"/>
          <w:lang w:val="uk-UA"/>
        </w:rPr>
        <w:t xml:space="preserve">2. </w:t>
      </w:r>
      <w:r w:rsidR="008C1CB4" w:rsidRPr="008C5B63">
        <w:rPr>
          <w:b/>
          <w:bCs/>
          <w:sz w:val="28"/>
          <w:szCs w:val="28"/>
          <w:lang w:val="uk-UA"/>
        </w:rPr>
        <w:t xml:space="preserve">Мета </w:t>
      </w:r>
      <w:r w:rsidRPr="008C5B63">
        <w:rPr>
          <w:b/>
          <w:bCs/>
          <w:sz w:val="28"/>
          <w:szCs w:val="28"/>
          <w:lang w:val="uk-UA"/>
        </w:rPr>
        <w:t xml:space="preserve">та завдання проекту </w:t>
      </w:r>
      <w:r w:rsidRPr="008C5B63">
        <w:rPr>
          <w:b/>
          <w:sz w:val="28"/>
          <w:szCs w:val="28"/>
          <w:lang w:val="uk-UA"/>
        </w:rPr>
        <w:t>Закону</w:t>
      </w:r>
    </w:p>
    <w:p w:rsidR="00A05A16" w:rsidRPr="008C5B63" w:rsidRDefault="00A05A16" w:rsidP="008C5B63">
      <w:pPr>
        <w:shd w:val="clear" w:color="auto" w:fill="FFFFFF"/>
        <w:spacing w:line="300" w:lineRule="auto"/>
        <w:ind w:firstLine="567"/>
        <w:jc w:val="both"/>
        <w:rPr>
          <w:sz w:val="28"/>
          <w:szCs w:val="28"/>
          <w:lang w:val="uk-UA"/>
        </w:rPr>
      </w:pPr>
      <w:r w:rsidRPr="008C5B63">
        <w:rPr>
          <w:sz w:val="28"/>
          <w:szCs w:val="28"/>
          <w:lang w:val="uk-UA"/>
        </w:rPr>
        <w:t>Законопроект розроблен</w:t>
      </w:r>
      <w:r w:rsidR="00FA6739" w:rsidRPr="008C5B63">
        <w:rPr>
          <w:sz w:val="28"/>
          <w:szCs w:val="28"/>
          <w:lang w:val="uk-UA"/>
        </w:rPr>
        <w:t>о</w:t>
      </w:r>
      <w:r w:rsidR="00966896" w:rsidRPr="008C5B63">
        <w:rPr>
          <w:sz w:val="28"/>
          <w:szCs w:val="28"/>
          <w:lang w:val="uk-UA"/>
        </w:rPr>
        <w:t xml:space="preserve"> з метою неухильного </w:t>
      </w:r>
      <w:r w:rsidR="00966896" w:rsidRPr="008C5B63">
        <w:rPr>
          <w:color w:val="000000"/>
          <w:sz w:val="28"/>
          <w:szCs w:val="28"/>
          <w:lang w:val="uk-UA"/>
        </w:rPr>
        <w:t xml:space="preserve">забезпечення єдності судової практики, що стане вагомою </w:t>
      </w:r>
      <w:r w:rsidR="007A5A29" w:rsidRPr="008C5B63">
        <w:rPr>
          <w:color w:val="000000"/>
          <w:sz w:val="28"/>
          <w:szCs w:val="28"/>
          <w:lang w:val="uk-UA"/>
        </w:rPr>
        <w:t>підґрунтям</w:t>
      </w:r>
      <w:r w:rsidR="00966896" w:rsidRPr="008C5B63">
        <w:rPr>
          <w:color w:val="000000"/>
          <w:sz w:val="28"/>
          <w:szCs w:val="28"/>
          <w:lang w:val="uk-UA"/>
        </w:rPr>
        <w:t xml:space="preserve"> на шляху реального реформування судової гілки влади.</w:t>
      </w:r>
    </w:p>
    <w:p w:rsidR="00A05A16" w:rsidRPr="008C5B63" w:rsidRDefault="00A05A16" w:rsidP="008C5B63">
      <w:pPr>
        <w:shd w:val="clear" w:color="auto" w:fill="FFFFFF"/>
        <w:spacing w:line="300" w:lineRule="auto"/>
        <w:ind w:firstLine="567"/>
        <w:jc w:val="both"/>
        <w:rPr>
          <w:sz w:val="28"/>
          <w:szCs w:val="28"/>
          <w:lang w:val="uk-UA"/>
        </w:rPr>
      </w:pPr>
    </w:p>
    <w:p w:rsidR="00A05A16" w:rsidRPr="008C5B63" w:rsidRDefault="00A05A16" w:rsidP="008C5B63">
      <w:pPr>
        <w:shd w:val="clear" w:color="auto" w:fill="FFFFFF"/>
        <w:spacing w:line="300" w:lineRule="auto"/>
        <w:ind w:firstLine="567"/>
        <w:jc w:val="both"/>
        <w:rPr>
          <w:sz w:val="28"/>
          <w:szCs w:val="28"/>
          <w:lang w:val="uk-UA"/>
        </w:rPr>
      </w:pPr>
      <w:r w:rsidRPr="008C5B63">
        <w:rPr>
          <w:b/>
          <w:bCs/>
          <w:sz w:val="28"/>
          <w:szCs w:val="28"/>
          <w:lang w:val="uk-UA"/>
        </w:rPr>
        <w:t>3. Загальна характеристика та основні положення проекту Закону</w:t>
      </w:r>
    </w:p>
    <w:p w:rsidR="006C04B8" w:rsidRPr="008C5B63" w:rsidRDefault="000D5281" w:rsidP="000D5281">
      <w:pPr>
        <w:shd w:val="clear" w:color="auto" w:fill="FFFFFF"/>
        <w:spacing w:line="276" w:lineRule="auto"/>
        <w:ind w:firstLine="567"/>
        <w:jc w:val="both"/>
        <w:rPr>
          <w:sz w:val="28"/>
          <w:szCs w:val="28"/>
          <w:lang w:val="uk-UA"/>
        </w:rPr>
      </w:pPr>
      <w:r w:rsidRPr="00D27E11">
        <w:rPr>
          <w:sz w:val="28"/>
          <w:szCs w:val="28"/>
          <w:lang w:val="uk-UA"/>
        </w:rPr>
        <w:t>Проект передбачає внесення змін, якими</w:t>
      </w:r>
      <w:r>
        <w:rPr>
          <w:sz w:val="28"/>
          <w:szCs w:val="28"/>
          <w:lang w:val="uk-UA"/>
        </w:rPr>
        <w:t>, зокрема,</w:t>
      </w:r>
      <w:r w:rsidRPr="00D27E11">
        <w:rPr>
          <w:sz w:val="28"/>
          <w:szCs w:val="28"/>
          <w:lang w:val="uk-UA"/>
        </w:rPr>
        <w:t xml:space="preserve"> пропонується, </w:t>
      </w:r>
      <w:r>
        <w:rPr>
          <w:sz w:val="28"/>
          <w:szCs w:val="28"/>
          <w:lang w:val="uk-UA"/>
        </w:rPr>
        <w:t>що</w:t>
      </w:r>
      <w:r w:rsidR="006C04B8" w:rsidRPr="008C5B63">
        <w:rPr>
          <w:sz w:val="28"/>
          <w:szCs w:val="28"/>
          <w:lang w:val="uk-UA"/>
        </w:rPr>
        <w:t>:</w:t>
      </w:r>
    </w:p>
    <w:p w:rsidR="006C04B8" w:rsidRPr="008C5B63" w:rsidRDefault="006C04B8" w:rsidP="008C5B63">
      <w:pPr>
        <w:shd w:val="clear" w:color="auto" w:fill="FFFFFF"/>
        <w:spacing w:line="300" w:lineRule="auto"/>
        <w:ind w:firstLine="567"/>
        <w:jc w:val="both"/>
        <w:rPr>
          <w:sz w:val="28"/>
          <w:szCs w:val="28"/>
          <w:lang w:val="uk-UA"/>
        </w:rPr>
      </w:pPr>
      <w:r w:rsidRPr="008C5B63">
        <w:rPr>
          <w:sz w:val="28"/>
          <w:szCs w:val="28"/>
          <w:lang w:val="uk-UA"/>
        </w:rPr>
        <w:t>мотивувальна частина судового рішення має містити зазначення мотивів та закону, якими керувався суд, постановляючи ухвалу, а також правової позиції, викладеної у постанові Верховного Суду, щодо застосування закону до подібних правовідносин чи вказівки на відсутність такої правової позиції;</w:t>
      </w:r>
    </w:p>
    <w:p w:rsidR="006C04B8" w:rsidRPr="008C5B63" w:rsidRDefault="006C04B8" w:rsidP="008C5B63">
      <w:pPr>
        <w:shd w:val="clear" w:color="auto" w:fill="FFFFFF"/>
        <w:spacing w:line="300" w:lineRule="auto"/>
        <w:ind w:firstLine="567"/>
        <w:jc w:val="both"/>
        <w:rPr>
          <w:sz w:val="28"/>
          <w:szCs w:val="28"/>
          <w:lang w:val="uk-UA"/>
        </w:rPr>
      </w:pPr>
      <w:r w:rsidRPr="008C5B63">
        <w:rPr>
          <w:sz w:val="28"/>
          <w:szCs w:val="28"/>
          <w:lang w:val="uk-UA"/>
        </w:rPr>
        <w:t>суд апеляційної інстанції переглядає справу за наявними у ній і додатково поданими доказами та перевіряє законність і обґрунтованість рішення суду першої інстанції в межах доводів та вимог апеляційної скарги, а також відповідність такого рішення правовим позиціям, викладеним в постановах Верховного Суду, щодо застосування закону до подібних правовідносин;</w:t>
      </w:r>
    </w:p>
    <w:p w:rsidR="006C04B8" w:rsidRPr="008C5B63" w:rsidRDefault="006C04B8" w:rsidP="008C5B63">
      <w:pPr>
        <w:shd w:val="clear" w:color="auto" w:fill="FFFFFF"/>
        <w:spacing w:line="300" w:lineRule="auto"/>
        <w:ind w:firstLine="567"/>
        <w:jc w:val="both"/>
        <w:rPr>
          <w:sz w:val="28"/>
          <w:szCs w:val="28"/>
          <w:lang w:val="uk-UA"/>
        </w:rPr>
      </w:pPr>
      <w:r w:rsidRPr="008C5B63">
        <w:rPr>
          <w:sz w:val="28"/>
          <w:szCs w:val="28"/>
          <w:lang w:val="uk-UA"/>
        </w:rPr>
        <w:t>суд, який розглядає справу в касаційному порядку у складі колегії або палати, має право передати справу на розгляд Великої Палати Верховного Суду, якщо дійде висновку, що справа містить виключну правову проблему, зокрема наявні декілька різних правових позицій Верховного Суду, викладених у його постановах, щодо застосування закону до подібних правовідносин, і така передача необхідна для забезпечення розвитку права та формування єдиної правозастосовної практики;</w:t>
      </w:r>
    </w:p>
    <w:p w:rsidR="006C04B8" w:rsidRPr="008C5B63" w:rsidRDefault="008C5B63" w:rsidP="008C5B63">
      <w:pPr>
        <w:shd w:val="clear" w:color="auto" w:fill="FFFFFF"/>
        <w:spacing w:line="300" w:lineRule="auto"/>
        <w:ind w:firstLine="567"/>
        <w:jc w:val="both"/>
        <w:rPr>
          <w:sz w:val="28"/>
          <w:szCs w:val="28"/>
          <w:lang w:val="uk-UA"/>
        </w:rPr>
      </w:pPr>
      <w:r w:rsidRPr="008C5B63">
        <w:rPr>
          <w:sz w:val="28"/>
          <w:szCs w:val="28"/>
          <w:lang w:val="uk-UA"/>
        </w:rPr>
        <w:t xml:space="preserve">якщо при розгляді такої справи суд касаційної інстанції дійде висновку про необхідність заперечення правової позиції, із якою не погодилася колегія суддів, </w:t>
      </w:r>
      <w:r w:rsidRPr="008C5B63">
        <w:rPr>
          <w:sz w:val="28"/>
          <w:szCs w:val="28"/>
          <w:lang w:val="uk-UA"/>
        </w:rPr>
        <w:lastRenderedPageBreak/>
        <w:t>палата, об'єднана палата Верховного Суду, що передала справу на розгляд палати, об'єднаної палати, Великої Палати, то у постанові має бути наведене обґрунтування такого заперечення;</w:t>
      </w:r>
    </w:p>
    <w:p w:rsidR="008C5B63" w:rsidRPr="008C5B63" w:rsidRDefault="008C5B63" w:rsidP="008C5B63">
      <w:pPr>
        <w:shd w:val="clear" w:color="auto" w:fill="FFFFFF"/>
        <w:spacing w:line="300" w:lineRule="auto"/>
        <w:ind w:firstLine="567"/>
        <w:jc w:val="both"/>
        <w:rPr>
          <w:sz w:val="28"/>
          <w:szCs w:val="28"/>
          <w:lang w:val="uk-UA"/>
        </w:rPr>
      </w:pPr>
      <w:r w:rsidRPr="008C5B63">
        <w:rPr>
          <w:sz w:val="28"/>
          <w:szCs w:val="28"/>
          <w:lang w:val="uk-UA"/>
        </w:rPr>
        <w:t>правова позиція суду касаційної інстанції, заперечена постановою палати, об'єднаної палати, Великої Палати Верховного Суду, не має враховуватися судами під час розгляду справ.</w:t>
      </w:r>
    </w:p>
    <w:p w:rsidR="008C5B63" w:rsidRDefault="008C5B63" w:rsidP="008C5B63">
      <w:pPr>
        <w:shd w:val="clear" w:color="auto" w:fill="FFFFFF"/>
        <w:spacing w:line="300" w:lineRule="auto"/>
        <w:ind w:firstLine="567"/>
        <w:jc w:val="both"/>
        <w:rPr>
          <w:sz w:val="28"/>
          <w:szCs w:val="28"/>
          <w:lang w:val="uk-UA"/>
        </w:rPr>
      </w:pPr>
      <w:r>
        <w:rPr>
          <w:sz w:val="28"/>
          <w:szCs w:val="28"/>
          <w:lang w:val="uk-UA"/>
        </w:rPr>
        <w:t>Крім того, законопроект містить</w:t>
      </w:r>
      <w:r w:rsidRPr="008C5B63">
        <w:rPr>
          <w:sz w:val="28"/>
          <w:szCs w:val="28"/>
          <w:lang w:val="uk-UA"/>
        </w:rPr>
        <w:t xml:space="preserve"> </w:t>
      </w:r>
      <w:r w:rsidRPr="00A62846">
        <w:rPr>
          <w:i/>
          <w:sz w:val="28"/>
          <w:szCs w:val="28"/>
          <w:lang w:val="uk-UA"/>
        </w:rPr>
        <w:t>інші позиції</w:t>
      </w:r>
      <w:r w:rsidRPr="008C5B63">
        <w:rPr>
          <w:sz w:val="28"/>
          <w:szCs w:val="28"/>
          <w:lang w:val="uk-UA"/>
        </w:rPr>
        <w:t>, які є нагальними та мають бути</w:t>
      </w:r>
      <w:r>
        <w:rPr>
          <w:sz w:val="28"/>
          <w:szCs w:val="28"/>
          <w:lang w:val="uk-UA"/>
        </w:rPr>
        <w:t xml:space="preserve"> опрацьовані Парламентом та</w:t>
      </w:r>
      <w:r w:rsidRPr="008C5B63">
        <w:rPr>
          <w:sz w:val="28"/>
          <w:szCs w:val="28"/>
          <w:lang w:val="uk-UA"/>
        </w:rPr>
        <w:t xml:space="preserve"> закріплені на законодавчому рівні.</w:t>
      </w:r>
    </w:p>
    <w:p w:rsidR="008C5B63" w:rsidRPr="008C5B63" w:rsidRDefault="008C5B63" w:rsidP="008C5B63">
      <w:pPr>
        <w:shd w:val="clear" w:color="auto" w:fill="FFFFFF"/>
        <w:spacing w:line="300" w:lineRule="auto"/>
        <w:ind w:firstLine="567"/>
        <w:jc w:val="both"/>
        <w:rPr>
          <w:sz w:val="28"/>
          <w:szCs w:val="28"/>
          <w:lang w:val="uk-UA"/>
        </w:rPr>
      </w:pPr>
      <w:r>
        <w:rPr>
          <w:sz w:val="28"/>
          <w:szCs w:val="28"/>
          <w:lang w:val="uk-UA"/>
        </w:rPr>
        <w:t>Прийняття проекту Закону стане початком реальної судової реформи в частині забезпечення єдності судової практики.</w:t>
      </w:r>
    </w:p>
    <w:p w:rsidR="006C04B8" w:rsidRPr="008C5B63" w:rsidRDefault="006C04B8" w:rsidP="008C5B63">
      <w:pPr>
        <w:shd w:val="clear" w:color="auto" w:fill="FFFFFF"/>
        <w:spacing w:line="300" w:lineRule="auto"/>
        <w:jc w:val="both"/>
        <w:rPr>
          <w:b/>
          <w:sz w:val="28"/>
          <w:szCs w:val="28"/>
          <w:lang w:val="uk-UA"/>
        </w:rPr>
      </w:pPr>
    </w:p>
    <w:p w:rsidR="00A05A16" w:rsidRPr="008C5B63" w:rsidRDefault="00A05A16" w:rsidP="008C5B63">
      <w:pPr>
        <w:shd w:val="clear" w:color="auto" w:fill="FFFFFF"/>
        <w:spacing w:line="300" w:lineRule="auto"/>
        <w:ind w:firstLine="567"/>
        <w:jc w:val="both"/>
        <w:rPr>
          <w:sz w:val="28"/>
          <w:szCs w:val="28"/>
          <w:lang w:val="uk-UA"/>
        </w:rPr>
      </w:pPr>
      <w:r w:rsidRPr="008C5B63">
        <w:rPr>
          <w:b/>
          <w:sz w:val="28"/>
          <w:szCs w:val="28"/>
          <w:lang w:val="uk-UA"/>
        </w:rPr>
        <w:t xml:space="preserve">4. </w:t>
      </w:r>
      <w:r w:rsidR="005C27B6" w:rsidRPr="008C5B63">
        <w:rPr>
          <w:b/>
          <w:bCs/>
          <w:sz w:val="28"/>
          <w:szCs w:val="28"/>
          <w:lang w:val="uk-UA"/>
        </w:rPr>
        <w:t>Стан нормативно-правової бази у даній сфері</w:t>
      </w:r>
      <w:r w:rsidRPr="008C5B63">
        <w:rPr>
          <w:b/>
          <w:bCs/>
          <w:sz w:val="28"/>
          <w:szCs w:val="28"/>
          <w:lang w:val="uk-UA"/>
        </w:rPr>
        <w:t xml:space="preserve"> правового регулювання</w:t>
      </w:r>
    </w:p>
    <w:p w:rsidR="00A05A16" w:rsidRPr="008C5B63" w:rsidRDefault="00A05A16" w:rsidP="008C5B63">
      <w:pPr>
        <w:shd w:val="clear" w:color="auto" w:fill="FFFFFF"/>
        <w:spacing w:line="300" w:lineRule="auto"/>
        <w:ind w:firstLine="567"/>
        <w:jc w:val="both"/>
        <w:rPr>
          <w:sz w:val="28"/>
          <w:szCs w:val="28"/>
          <w:lang w:val="uk-UA"/>
        </w:rPr>
      </w:pPr>
      <w:r w:rsidRPr="008C5B63">
        <w:rPr>
          <w:sz w:val="28"/>
          <w:szCs w:val="28"/>
          <w:lang w:val="uk-UA"/>
        </w:rPr>
        <w:t xml:space="preserve">Основними нормативно-правовими актами, які регулюють правовідносини у цій сфері виступають: Конституція України, </w:t>
      </w:r>
      <w:r w:rsidR="000618AF" w:rsidRPr="008C5B63">
        <w:rPr>
          <w:sz w:val="28"/>
          <w:szCs w:val="28"/>
          <w:lang w:val="uk-UA"/>
        </w:rPr>
        <w:t>Кримінальний процесуальний кодекс України, Цивільний процесуальний кодекс України, Господарський процесуальний Кодекс України, Кодекс адміністративного судочинства України, Кодекс України про адміністративні правопорушення та Закон України «Про судоустрій і статус суддів»</w:t>
      </w:r>
      <w:r w:rsidR="008D5B79" w:rsidRPr="008C5B63">
        <w:rPr>
          <w:sz w:val="28"/>
          <w:szCs w:val="28"/>
          <w:lang w:val="uk-UA"/>
        </w:rPr>
        <w:t>.</w:t>
      </w:r>
    </w:p>
    <w:p w:rsidR="00A05A16" w:rsidRPr="008C5B63" w:rsidRDefault="00A05A16" w:rsidP="008C5B63">
      <w:pPr>
        <w:shd w:val="clear" w:color="auto" w:fill="FFFFFF"/>
        <w:tabs>
          <w:tab w:val="left" w:pos="828"/>
        </w:tabs>
        <w:spacing w:line="300" w:lineRule="auto"/>
        <w:ind w:firstLine="567"/>
        <w:jc w:val="both"/>
        <w:rPr>
          <w:b/>
          <w:bCs/>
          <w:sz w:val="28"/>
          <w:szCs w:val="28"/>
          <w:lang w:val="uk-UA"/>
        </w:rPr>
      </w:pPr>
    </w:p>
    <w:p w:rsidR="00A05A16" w:rsidRPr="008C5B63" w:rsidRDefault="00A05A16" w:rsidP="008C5B63">
      <w:pPr>
        <w:shd w:val="clear" w:color="auto" w:fill="FFFFFF"/>
        <w:tabs>
          <w:tab w:val="left" w:pos="828"/>
        </w:tabs>
        <w:spacing w:line="300" w:lineRule="auto"/>
        <w:ind w:firstLine="567"/>
        <w:jc w:val="both"/>
        <w:rPr>
          <w:sz w:val="28"/>
          <w:szCs w:val="28"/>
          <w:lang w:val="uk-UA"/>
        </w:rPr>
      </w:pPr>
      <w:r w:rsidRPr="008C5B63">
        <w:rPr>
          <w:b/>
          <w:bCs/>
          <w:sz w:val="28"/>
          <w:szCs w:val="28"/>
          <w:lang w:val="uk-UA"/>
        </w:rPr>
        <w:t>5.</w:t>
      </w:r>
      <w:r w:rsidRPr="008C5B63">
        <w:rPr>
          <w:b/>
          <w:bCs/>
          <w:sz w:val="28"/>
          <w:szCs w:val="28"/>
          <w:lang w:val="uk-UA"/>
        </w:rPr>
        <w:tab/>
        <w:t>Фінансово-економічне обґрунтування</w:t>
      </w:r>
    </w:p>
    <w:p w:rsidR="00A05A16" w:rsidRPr="008C5B63" w:rsidRDefault="008C040E" w:rsidP="008C5B63">
      <w:pPr>
        <w:shd w:val="clear" w:color="auto" w:fill="FFFFFF"/>
        <w:spacing w:line="300" w:lineRule="auto"/>
        <w:ind w:firstLine="567"/>
        <w:jc w:val="both"/>
        <w:rPr>
          <w:sz w:val="28"/>
          <w:szCs w:val="28"/>
          <w:lang w:val="uk-UA"/>
        </w:rPr>
      </w:pPr>
      <w:r w:rsidRPr="008C5B63">
        <w:rPr>
          <w:sz w:val="28"/>
          <w:szCs w:val="28"/>
          <w:lang w:val="uk-UA"/>
        </w:rPr>
        <w:t xml:space="preserve">На момент внесення законопроекту на розгляд Верховної Ради України не передбачається необхідність додаткового фінансування. </w:t>
      </w:r>
      <w:r w:rsidR="00A05A16" w:rsidRPr="008C5B63">
        <w:rPr>
          <w:sz w:val="28"/>
          <w:szCs w:val="28"/>
          <w:lang w:val="uk-UA"/>
        </w:rPr>
        <w:t>Реалізація положень законопроекту під час його практичного застосування</w:t>
      </w:r>
      <w:r w:rsidR="007A5A29" w:rsidRPr="008C5B63">
        <w:rPr>
          <w:sz w:val="28"/>
          <w:szCs w:val="28"/>
          <w:lang w:val="uk-UA"/>
        </w:rPr>
        <w:t>,</w:t>
      </w:r>
      <w:r w:rsidR="00A05A16" w:rsidRPr="008C5B63">
        <w:rPr>
          <w:sz w:val="28"/>
          <w:szCs w:val="28"/>
          <w:lang w:val="uk-UA"/>
        </w:rPr>
        <w:t xml:space="preserve"> після його прийняття</w:t>
      </w:r>
      <w:r w:rsidR="007A5A29" w:rsidRPr="008C5B63">
        <w:rPr>
          <w:sz w:val="28"/>
          <w:szCs w:val="28"/>
          <w:lang w:val="uk-UA"/>
        </w:rPr>
        <w:t>,</w:t>
      </w:r>
      <w:r w:rsidR="00A05A16" w:rsidRPr="008C5B63">
        <w:rPr>
          <w:sz w:val="28"/>
          <w:szCs w:val="28"/>
          <w:lang w:val="uk-UA"/>
        </w:rPr>
        <w:t xml:space="preserve"> не впливатиме на видаткову та дох</w:t>
      </w:r>
      <w:r w:rsidR="000618AF" w:rsidRPr="008C5B63">
        <w:rPr>
          <w:sz w:val="28"/>
          <w:szCs w:val="28"/>
          <w:lang w:val="uk-UA"/>
        </w:rPr>
        <w:t>і</w:t>
      </w:r>
      <w:r w:rsidR="00A05A16" w:rsidRPr="008C5B63">
        <w:rPr>
          <w:sz w:val="28"/>
          <w:szCs w:val="28"/>
          <w:lang w:val="uk-UA"/>
        </w:rPr>
        <w:t>дну частини державного або місцевих бюджетів.</w:t>
      </w:r>
      <w:r w:rsidRPr="008C5B63">
        <w:rPr>
          <w:sz w:val="28"/>
          <w:szCs w:val="28"/>
          <w:lang w:val="uk-UA"/>
        </w:rPr>
        <w:t xml:space="preserve"> </w:t>
      </w:r>
    </w:p>
    <w:p w:rsidR="000618AF" w:rsidRPr="008C5B63" w:rsidRDefault="000618AF" w:rsidP="008C5B63">
      <w:pPr>
        <w:shd w:val="clear" w:color="auto" w:fill="FFFFFF"/>
        <w:tabs>
          <w:tab w:val="left" w:pos="828"/>
        </w:tabs>
        <w:spacing w:line="300" w:lineRule="auto"/>
        <w:ind w:firstLine="567"/>
        <w:jc w:val="both"/>
        <w:rPr>
          <w:b/>
          <w:bCs/>
          <w:sz w:val="28"/>
          <w:szCs w:val="28"/>
          <w:lang w:val="uk-UA"/>
        </w:rPr>
      </w:pPr>
    </w:p>
    <w:p w:rsidR="00A05A16" w:rsidRPr="008C5B63" w:rsidRDefault="00A05A16" w:rsidP="008C5B63">
      <w:pPr>
        <w:shd w:val="clear" w:color="auto" w:fill="FFFFFF"/>
        <w:tabs>
          <w:tab w:val="left" w:pos="828"/>
        </w:tabs>
        <w:spacing w:line="300" w:lineRule="auto"/>
        <w:ind w:firstLine="567"/>
        <w:jc w:val="both"/>
        <w:rPr>
          <w:sz w:val="28"/>
          <w:szCs w:val="28"/>
          <w:lang w:val="uk-UA"/>
        </w:rPr>
      </w:pPr>
      <w:r w:rsidRPr="008C5B63">
        <w:rPr>
          <w:b/>
          <w:bCs/>
          <w:sz w:val="28"/>
          <w:szCs w:val="28"/>
          <w:lang w:val="uk-UA"/>
        </w:rPr>
        <w:t>6.</w:t>
      </w:r>
      <w:r w:rsidRPr="008C5B63">
        <w:rPr>
          <w:b/>
          <w:bCs/>
          <w:sz w:val="28"/>
          <w:szCs w:val="28"/>
          <w:lang w:val="uk-UA"/>
        </w:rPr>
        <w:tab/>
        <w:t>Обґрунтування очікуваних соц</w:t>
      </w:r>
      <w:r w:rsidR="005C27B6" w:rsidRPr="008C5B63">
        <w:rPr>
          <w:b/>
          <w:bCs/>
          <w:sz w:val="28"/>
          <w:szCs w:val="28"/>
          <w:lang w:val="uk-UA"/>
        </w:rPr>
        <w:t xml:space="preserve">іально-економічних, правових та </w:t>
      </w:r>
      <w:r w:rsidRPr="008C5B63">
        <w:rPr>
          <w:b/>
          <w:bCs/>
          <w:sz w:val="28"/>
          <w:szCs w:val="28"/>
          <w:lang w:val="uk-UA"/>
        </w:rPr>
        <w:t>інших наслідків застосування законопроекту після його прийняття</w:t>
      </w:r>
    </w:p>
    <w:p w:rsidR="007A5A29" w:rsidRPr="008C5B63" w:rsidRDefault="007A5A29" w:rsidP="008C5B63">
      <w:pPr>
        <w:shd w:val="clear" w:color="auto" w:fill="FFFFFF"/>
        <w:spacing w:line="300" w:lineRule="auto"/>
        <w:ind w:firstLine="567"/>
        <w:jc w:val="both"/>
        <w:rPr>
          <w:sz w:val="28"/>
          <w:szCs w:val="28"/>
          <w:lang w:val="uk-UA"/>
        </w:rPr>
      </w:pPr>
    </w:p>
    <w:p w:rsidR="00A05A16" w:rsidRPr="008C5B63" w:rsidRDefault="00A05A16" w:rsidP="008C5B63">
      <w:pPr>
        <w:shd w:val="clear" w:color="auto" w:fill="FFFFFF"/>
        <w:spacing w:line="300" w:lineRule="auto"/>
        <w:ind w:firstLine="567"/>
        <w:jc w:val="both"/>
        <w:rPr>
          <w:sz w:val="28"/>
          <w:szCs w:val="28"/>
          <w:lang w:val="uk-UA"/>
        </w:rPr>
      </w:pPr>
      <w:r w:rsidRPr="008C5B63">
        <w:rPr>
          <w:sz w:val="28"/>
          <w:szCs w:val="28"/>
          <w:lang w:val="uk-UA"/>
        </w:rPr>
        <w:t xml:space="preserve">Прийняття проекту Закону України </w:t>
      </w:r>
      <w:r w:rsidR="000618AF" w:rsidRPr="008C5B63">
        <w:rPr>
          <w:sz w:val="28"/>
          <w:szCs w:val="28"/>
          <w:lang w:val="uk-UA"/>
        </w:rPr>
        <w:t xml:space="preserve">стане вагомим підґрунтям на шляху до формування єдиної судової практики, </w:t>
      </w:r>
      <w:r w:rsidR="007A5A29" w:rsidRPr="008C5B63">
        <w:rPr>
          <w:sz w:val="28"/>
          <w:szCs w:val="28"/>
          <w:lang w:val="uk-UA"/>
        </w:rPr>
        <w:t xml:space="preserve">реального </w:t>
      </w:r>
      <w:r w:rsidR="000618AF" w:rsidRPr="008C5B63">
        <w:rPr>
          <w:sz w:val="28"/>
          <w:szCs w:val="28"/>
          <w:lang w:val="uk-UA"/>
        </w:rPr>
        <w:t xml:space="preserve">реформування судової </w:t>
      </w:r>
      <w:r w:rsidR="008C5B63">
        <w:rPr>
          <w:sz w:val="28"/>
          <w:szCs w:val="28"/>
          <w:lang w:val="uk-UA"/>
        </w:rPr>
        <w:t>системи</w:t>
      </w:r>
      <w:r w:rsidR="000618AF" w:rsidRPr="008C5B63">
        <w:rPr>
          <w:sz w:val="28"/>
          <w:szCs w:val="28"/>
          <w:lang w:val="uk-UA"/>
        </w:rPr>
        <w:t>, сприятиме підвищенню довіри громадян України до судової системи.</w:t>
      </w:r>
    </w:p>
    <w:p w:rsidR="008C040E" w:rsidRPr="008C5B63" w:rsidRDefault="008C040E" w:rsidP="008C5B63">
      <w:pPr>
        <w:shd w:val="clear" w:color="auto" w:fill="FFFFFF"/>
        <w:spacing w:line="300" w:lineRule="auto"/>
        <w:ind w:firstLine="567"/>
        <w:jc w:val="both"/>
        <w:rPr>
          <w:sz w:val="28"/>
          <w:szCs w:val="28"/>
          <w:lang w:val="uk-UA"/>
        </w:rPr>
      </w:pPr>
    </w:p>
    <w:p w:rsidR="007A5A29" w:rsidRPr="008C5B63" w:rsidRDefault="007A5A29" w:rsidP="008C5B63">
      <w:pPr>
        <w:shd w:val="clear" w:color="auto" w:fill="FFFFFF"/>
        <w:spacing w:line="300" w:lineRule="auto"/>
        <w:jc w:val="both"/>
        <w:rPr>
          <w:sz w:val="28"/>
          <w:szCs w:val="28"/>
          <w:lang w:val="uk-UA"/>
        </w:rPr>
      </w:pPr>
    </w:p>
    <w:p w:rsidR="000618AF" w:rsidRPr="008C5B63" w:rsidRDefault="00284459" w:rsidP="008C5B63">
      <w:pPr>
        <w:shd w:val="clear" w:color="auto" w:fill="FFFFFF"/>
        <w:tabs>
          <w:tab w:val="left" w:pos="7124"/>
        </w:tabs>
        <w:spacing w:line="300" w:lineRule="auto"/>
        <w:ind w:firstLine="567"/>
        <w:jc w:val="both"/>
        <w:rPr>
          <w:b/>
          <w:bCs/>
          <w:sz w:val="28"/>
          <w:szCs w:val="28"/>
          <w:lang w:val="uk-UA"/>
        </w:rPr>
      </w:pPr>
      <w:r w:rsidRPr="008C5B63">
        <w:rPr>
          <w:b/>
          <w:bCs/>
          <w:sz w:val="28"/>
          <w:szCs w:val="28"/>
          <w:lang w:val="uk-UA"/>
        </w:rPr>
        <w:t xml:space="preserve">Народний депутат України                          </w:t>
      </w:r>
      <w:r w:rsidR="000618AF" w:rsidRPr="008C5B63">
        <w:rPr>
          <w:b/>
          <w:bCs/>
          <w:sz w:val="28"/>
          <w:szCs w:val="28"/>
          <w:lang w:val="uk-UA"/>
        </w:rPr>
        <w:t xml:space="preserve">    С.</w:t>
      </w:r>
      <w:r w:rsidRPr="008C5B63">
        <w:rPr>
          <w:b/>
          <w:bCs/>
          <w:sz w:val="28"/>
          <w:szCs w:val="28"/>
          <w:lang w:val="uk-UA"/>
        </w:rPr>
        <w:t xml:space="preserve"> </w:t>
      </w:r>
      <w:r w:rsidR="000618AF" w:rsidRPr="008C5B63">
        <w:rPr>
          <w:b/>
          <w:bCs/>
          <w:sz w:val="28"/>
          <w:szCs w:val="28"/>
          <w:lang w:val="uk-UA"/>
        </w:rPr>
        <w:t>В. Власенко</w:t>
      </w:r>
      <w:r w:rsidRPr="008C5B63">
        <w:rPr>
          <w:b/>
          <w:bCs/>
          <w:sz w:val="28"/>
          <w:szCs w:val="28"/>
          <w:lang w:val="uk-UA"/>
        </w:rPr>
        <w:t xml:space="preserve"> </w:t>
      </w:r>
      <w:r w:rsidRPr="008C5B63">
        <w:rPr>
          <w:b/>
          <w:bCs/>
          <w:i/>
          <w:sz w:val="28"/>
          <w:szCs w:val="28"/>
          <w:lang w:val="uk-UA"/>
        </w:rPr>
        <w:t xml:space="preserve">(посв. № </w:t>
      </w:r>
      <w:r w:rsidR="007A5A29" w:rsidRPr="008C5B63">
        <w:rPr>
          <w:b/>
          <w:bCs/>
          <w:i/>
          <w:sz w:val="28"/>
          <w:szCs w:val="28"/>
          <w:lang w:val="uk-UA"/>
        </w:rPr>
        <w:t>170</w:t>
      </w:r>
      <w:r w:rsidRPr="008C5B63">
        <w:rPr>
          <w:b/>
          <w:bCs/>
          <w:i/>
          <w:sz w:val="28"/>
          <w:szCs w:val="28"/>
          <w:lang w:val="uk-UA"/>
        </w:rPr>
        <w:t>)</w:t>
      </w:r>
    </w:p>
    <w:sectPr w:rsidR="000618AF" w:rsidRPr="008C5B63" w:rsidSect="007A5A29">
      <w:footerReference w:type="even" r:id="rId10"/>
      <w:footerReference w:type="default" r:id="rId11"/>
      <w:pgSz w:w="11909" w:h="16834"/>
      <w:pgMar w:top="1134" w:right="851" w:bottom="1701" w:left="1134"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91" w:rsidRDefault="004A6C91">
      <w:r>
        <w:separator/>
      </w:r>
    </w:p>
  </w:endnote>
  <w:endnote w:type="continuationSeparator" w:id="0">
    <w:p w:rsidR="004A6C91" w:rsidRDefault="004A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AF7" w:rsidRDefault="004D5A98" w:rsidP="00F2205E">
    <w:pPr>
      <w:pStyle w:val="a6"/>
      <w:framePr w:wrap="around" w:vAnchor="text" w:hAnchor="margin" w:xAlign="right" w:y="1"/>
      <w:rPr>
        <w:rStyle w:val="a8"/>
      </w:rPr>
    </w:pPr>
    <w:r>
      <w:rPr>
        <w:rStyle w:val="a8"/>
      </w:rPr>
      <w:fldChar w:fldCharType="begin"/>
    </w:r>
    <w:r w:rsidR="005B7AF7">
      <w:rPr>
        <w:rStyle w:val="a8"/>
      </w:rPr>
      <w:instrText xml:space="preserve">PAGE  </w:instrText>
    </w:r>
    <w:r>
      <w:rPr>
        <w:rStyle w:val="a8"/>
      </w:rPr>
      <w:fldChar w:fldCharType="separate"/>
    </w:r>
    <w:r w:rsidR="005B7AF7">
      <w:rPr>
        <w:rStyle w:val="a8"/>
        <w:noProof/>
      </w:rPr>
      <w:t>6</w:t>
    </w:r>
    <w:r>
      <w:rPr>
        <w:rStyle w:val="a8"/>
      </w:rPr>
      <w:fldChar w:fldCharType="end"/>
    </w:r>
  </w:p>
  <w:p w:rsidR="005B7AF7" w:rsidRDefault="005B7AF7" w:rsidP="00050C8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AF7" w:rsidRDefault="004D5A98" w:rsidP="00F2205E">
    <w:pPr>
      <w:pStyle w:val="a6"/>
      <w:framePr w:wrap="around" w:vAnchor="text" w:hAnchor="margin" w:xAlign="right" w:y="1"/>
      <w:rPr>
        <w:rStyle w:val="a8"/>
      </w:rPr>
    </w:pPr>
    <w:r>
      <w:rPr>
        <w:rStyle w:val="a8"/>
      </w:rPr>
      <w:fldChar w:fldCharType="begin"/>
    </w:r>
    <w:r w:rsidR="005B7AF7">
      <w:rPr>
        <w:rStyle w:val="a8"/>
      </w:rPr>
      <w:instrText xml:space="preserve">PAGE  </w:instrText>
    </w:r>
    <w:r>
      <w:rPr>
        <w:rStyle w:val="a8"/>
      </w:rPr>
      <w:fldChar w:fldCharType="separate"/>
    </w:r>
    <w:r w:rsidR="007B0614">
      <w:rPr>
        <w:rStyle w:val="a8"/>
        <w:noProof/>
      </w:rPr>
      <w:t>1</w:t>
    </w:r>
    <w:r>
      <w:rPr>
        <w:rStyle w:val="a8"/>
      </w:rPr>
      <w:fldChar w:fldCharType="end"/>
    </w:r>
  </w:p>
  <w:p w:rsidR="005B7AF7" w:rsidRDefault="005B7AF7" w:rsidP="00050C8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91" w:rsidRDefault="004A6C91">
      <w:r>
        <w:separator/>
      </w:r>
    </w:p>
  </w:footnote>
  <w:footnote w:type="continuationSeparator" w:id="0">
    <w:p w:rsidR="004A6C91" w:rsidRDefault="004A6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556A"/>
    <w:multiLevelType w:val="hybridMultilevel"/>
    <w:tmpl w:val="669A7CE2"/>
    <w:lvl w:ilvl="0" w:tplc="08249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4884BAC"/>
    <w:multiLevelType w:val="hybridMultilevel"/>
    <w:tmpl w:val="2294CE48"/>
    <w:lvl w:ilvl="0" w:tplc="8A9E3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5A16"/>
    <w:rsid w:val="00022023"/>
    <w:rsid w:val="00022BFE"/>
    <w:rsid w:val="00050C80"/>
    <w:rsid w:val="000618AF"/>
    <w:rsid w:val="000B7D97"/>
    <w:rsid w:val="000D5281"/>
    <w:rsid w:val="000E225F"/>
    <w:rsid w:val="000E7439"/>
    <w:rsid w:val="00161405"/>
    <w:rsid w:val="001B57CA"/>
    <w:rsid w:val="001C0876"/>
    <w:rsid w:val="001C14BB"/>
    <w:rsid w:val="00252C68"/>
    <w:rsid w:val="00284459"/>
    <w:rsid w:val="0029595D"/>
    <w:rsid w:val="002D0428"/>
    <w:rsid w:val="002E0A54"/>
    <w:rsid w:val="00305E72"/>
    <w:rsid w:val="003777BD"/>
    <w:rsid w:val="00377993"/>
    <w:rsid w:val="003C7E2A"/>
    <w:rsid w:val="003F0883"/>
    <w:rsid w:val="004402EF"/>
    <w:rsid w:val="004764C1"/>
    <w:rsid w:val="004A1F84"/>
    <w:rsid w:val="004A6C91"/>
    <w:rsid w:val="004D5A98"/>
    <w:rsid w:val="004E5CB1"/>
    <w:rsid w:val="00505AA8"/>
    <w:rsid w:val="00507671"/>
    <w:rsid w:val="00530570"/>
    <w:rsid w:val="005B672E"/>
    <w:rsid w:val="005B7AF7"/>
    <w:rsid w:val="005C27B6"/>
    <w:rsid w:val="00614F89"/>
    <w:rsid w:val="00644CEB"/>
    <w:rsid w:val="006868B7"/>
    <w:rsid w:val="006C04B8"/>
    <w:rsid w:val="006D6201"/>
    <w:rsid w:val="006D7F01"/>
    <w:rsid w:val="006E6C55"/>
    <w:rsid w:val="00720120"/>
    <w:rsid w:val="0072738B"/>
    <w:rsid w:val="007A5A29"/>
    <w:rsid w:val="007B0614"/>
    <w:rsid w:val="008C040E"/>
    <w:rsid w:val="008C1CB4"/>
    <w:rsid w:val="008C5B63"/>
    <w:rsid w:val="008D5B79"/>
    <w:rsid w:val="00957394"/>
    <w:rsid w:val="00966896"/>
    <w:rsid w:val="00977C3D"/>
    <w:rsid w:val="009833F7"/>
    <w:rsid w:val="009D4617"/>
    <w:rsid w:val="00A05A16"/>
    <w:rsid w:val="00A62846"/>
    <w:rsid w:val="00AA1F10"/>
    <w:rsid w:val="00AC4114"/>
    <w:rsid w:val="00B116E1"/>
    <w:rsid w:val="00C03BED"/>
    <w:rsid w:val="00C35671"/>
    <w:rsid w:val="00CF3BD7"/>
    <w:rsid w:val="00D136A1"/>
    <w:rsid w:val="00DA7816"/>
    <w:rsid w:val="00DD48AD"/>
    <w:rsid w:val="00DE5097"/>
    <w:rsid w:val="00E25E83"/>
    <w:rsid w:val="00E26CA3"/>
    <w:rsid w:val="00E608E2"/>
    <w:rsid w:val="00EB5ED4"/>
    <w:rsid w:val="00F028AC"/>
    <w:rsid w:val="00F2205E"/>
    <w:rsid w:val="00F23B3C"/>
    <w:rsid w:val="00FA6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EA3560-303B-48D3-8262-58723B17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A16"/>
    <w:pPr>
      <w:widowControl w:val="0"/>
      <w:autoSpaceDE w:val="0"/>
      <w:autoSpaceDN w:val="0"/>
      <w:adjustRightInd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5A16"/>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957394"/>
    <w:rPr>
      <w:rFonts w:ascii="Tahoma" w:hAnsi="Tahoma" w:cs="Tahoma"/>
      <w:sz w:val="16"/>
      <w:szCs w:val="16"/>
    </w:rPr>
  </w:style>
  <w:style w:type="paragraph" w:styleId="a6">
    <w:name w:val="footer"/>
    <w:basedOn w:val="a"/>
    <w:link w:val="a7"/>
    <w:uiPriority w:val="99"/>
    <w:rsid w:val="00050C80"/>
    <w:pPr>
      <w:tabs>
        <w:tab w:val="center" w:pos="4677"/>
        <w:tab w:val="right" w:pos="9355"/>
      </w:tabs>
    </w:pPr>
  </w:style>
  <w:style w:type="character" w:customStyle="1" w:styleId="a5">
    <w:name w:val="Текст у виносці Знак"/>
    <w:basedOn w:val="a0"/>
    <w:link w:val="a4"/>
    <w:uiPriority w:val="99"/>
    <w:semiHidden/>
    <w:locked/>
    <w:rsid w:val="00AA1F10"/>
    <w:rPr>
      <w:rFonts w:ascii="Segoe UI" w:hAnsi="Segoe UI" w:cs="Segoe UI"/>
      <w:sz w:val="18"/>
      <w:szCs w:val="18"/>
    </w:rPr>
  </w:style>
  <w:style w:type="character" w:styleId="a8">
    <w:name w:val="page number"/>
    <w:basedOn w:val="a0"/>
    <w:uiPriority w:val="99"/>
    <w:rsid w:val="00050C80"/>
    <w:rPr>
      <w:rFonts w:cs="Times New Roman"/>
    </w:rPr>
  </w:style>
  <w:style w:type="character" w:customStyle="1" w:styleId="a7">
    <w:name w:val="Нижній колонтитул Знак"/>
    <w:basedOn w:val="a0"/>
    <w:link w:val="a6"/>
    <w:uiPriority w:val="99"/>
    <w:semiHidden/>
    <w:locked/>
    <w:rsid w:val="00AA1F10"/>
    <w:rPr>
      <w:rFonts w:cs="Times New Roman"/>
      <w:sz w:val="20"/>
      <w:szCs w:val="20"/>
    </w:rPr>
  </w:style>
  <w:style w:type="paragraph" w:styleId="a9">
    <w:name w:val="footnote text"/>
    <w:basedOn w:val="a"/>
    <w:link w:val="aa"/>
    <w:uiPriority w:val="99"/>
    <w:rsid w:val="008D5B79"/>
    <w:pPr>
      <w:widowControl/>
      <w:autoSpaceDE/>
      <w:autoSpaceDN/>
      <w:adjustRightInd/>
    </w:pPr>
    <w:rPr>
      <w:lang w:val="en-GB" w:eastAsia="en-US"/>
    </w:rPr>
  </w:style>
  <w:style w:type="character" w:customStyle="1" w:styleId="apple-converted-space">
    <w:name w:val="apple-converted-space"/>
    <w:basedOn w:val="a0"/>
    <w:uiPriority w:val="99"/>
    <w:rsid w:val="008D5B79"/>
    <w:rPr>
      <w:rFonts w:cs="Times New Roman"/>
    </w:rPr>
  </w:style>
  <w:style w:type="character" w:styleId="ab">
    <w:name w:val="footnote reference"/>
    <w:basedOn w:val="a0"/>
    <w:uiPriority w:val="99"/>
    <w:semiHidden/>
    <w:rsid w:val="008D5B79"/>
    <w:rPr>
      <w:rFonts w:cs="Times New Roman"/>
      <w:vertAlign w:val="superscript"/>
    </w:rPr>
  </w:style>
  <w:style w:type="character" w:customStyle="1" w:styleId="aa">
    <w:name w:val="Текст виноски Знак"/>
    <w:basedOn w:val="a0"/>
    <w:link w:val="a9"/>
    <w:uiPriority w:val="99"/>
    <w:locked/>
    <w:rsid w:val="008D5B79"/>
    <w:rPr>
      <w:rFonts w:cs="Times New Roman"/>
      <w:lang w:val="en-GB" w:eastAsia="en-US" w:bidi="ar-SA"/>
    </w:rPr>
  </w:style>
  <w:style w:type="character" w:customStyle="1" w:styleId="s7d2086b4">
    <w:name w:val="s7d2086b4"/>
    <w:basedOn w:val="a0"/>
    <w:uiPriority w:val="99"/>
    <w:rsid w:val="008D5B79"/>
    <w:rPr>
      <w:rFonts w:cs="Times New Roman"/>
    </w:rPr>
  </w:style>
  <w:style w:type="paragraph" w:styleId="ac">
    <w:name w:val="Normal (Web)"/>
    <w:basedOn w:val="a"/>
    <w:uiPriority w:val="99"/>
    <w:rsid w:val="005B672E"/>
    <w:pPr>
      <w:widowControl/>
      <w:autoSpaceDE/>
      <w:autoSpaceDN/>
      <w:adjustRightInd/>
      <w:spacing w:before="100" w:beforeAutospacing="1" w:after="100" w:afterAutospacing="1"/>
    </w:pPr>
    <w:rPr>
      <w:sz w:val="24"/>
      <w:szCs w:val="24"/>
    </w:rPr>
  </w:style>
  <w:style w:type="character" w:styleId="ad">
    <w:name w:val="Strong"/>
    <w:basedOn w:val="a0"/>
    <w:uiPriority w:val="99"/>
    <w:qFormat/>
    <w:locked/>
    <w:rsid w:val="005B672E"/>
    <w:rPr>
      <w:rFonts w:cs="Times New Roman"/>
      <w:b/>
      <w:bCs/>
    </w:rPr>
  </w:style>
  <w:style w:type="character" w:styleId="ae">
    <w:name w:val="Emphasis"/>
    <w:basedOn w:val="a0"/>
    <w:uiPriority w:val="99"/>
    <w:qFormat/>
    <w:locked/>
    <w:rsid w:val="005B672E"/>
    <w:rPr>
      <w:rFonts w:cs="Times New Roman"/>
      <w:i/>
      <w:iCs/>
    </w:rPr>
  </w:style>
  <w:style w:type="paragraph" w:customStyle="1" w:styleId="af">
    <w:name w:val="Нормальний текст"/>
    <w:basedOn w:val="a"/>
    <w:rsid w:val="006C04B8"/>
    <w:pPr>
      <w:widowControl/>
      <w:autoSpaceDE/>
      <w:autoSpaceDN/>
      <w:adjustRightInd/>
      <w:spacing w:before="120"/>
      <w:ind w:firstLine="567"/>
      <w:jc w:val="both"/>
    </w:pPr>
    <w:rPr>
      <w:rFonts w:ascii="Antiqua" w:hAnsi="Antiqua"/>
      <w:sz w:val="26"/>
      <w:lang w:val="uk-UA"/>
    </w:rPr>
  </w:style>
  <w:style w:type="character" w:customStyle="1" w:styleId="rvts9">
    <w:name w:val="rvts9"/>
    <w:rsid w:val="006C0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02321">
      <w:marLeft w:val="0"/>
      <w:marRight w:val="0"/>
      <w:marTop w:val="0"/>
      <w:marBottom w:val="0"/>
      <w:divBdr>
        <w:top w:val="none" w:sz="0" w:space="0" w:color="auto"/>
        <w:left w:val="none" w:sz="0" w:space="0" w:color="auto"/>
        <w:bottom w:val="none" w:sz="0" w:space="0" w:color="auto"/>
        <w:right w:val="none" w:sz="0" w:space="0" w:color="auto"/>
      </w:divBdr>
    </w:div>
    <w:div w:id="1334602322">
      <w:marLeft w:val="0"/>
      <w:marRight w:val="0"/>
      <w:marTop w:val="0"/>
      <w:marBottom w:val="0"/>
      <w:divBdr>
        <w:top w:val="none" w:sz="0" w:space="0" w:color="auto"/>
        <w:left w:val="none" w:sz="0" w:space="0" w:color="auto"/>
        <w:bottom w:val="none" w:sz="0" w:space="0" w:color="auto"/>
        <w:right w:val="none" w:sz="0" w:space="0" w:color="auto"/>
      </w:divBdr>
    </w:div>
    <w:div w:id="1334602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ACF6A-6E36-4091-8273-0C60E71C5B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5555CC-5736-4CF2-A9D3-B43319FC1289}">
  <ds:schemaRefs>
    <ds:schemaRef ds:uri="http://schemas.microsoft.com/sharepoint/v3/contenttype/forms"/>
  </ds:schemaRefs>
</ds:datastoreItem>
</file>

<file path=customXml/itemProps3.xml><?xml version="1.0" encoding="utf-8"?>
<ds:datastoreItem xmlns:ds="http://schemas.openxmlformats.org/officeDocument/2006/customXml" ds:itemID="{10B1AC7B-1A7F-4612-9E89-B9CFF4293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4114</Words>
  <Characters>2346</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ПОЯСНЮВАЛЬНА ЗАПИСКА</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2021-05-27T08:42:00Z</dcterms:created>
  <dcterms:modified xsi:type="dcterms:W3CDTF">2021-05-27T08:42:00Z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