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0631256" w:rsidR="00E02BA8" w:rsidRPr="008B6047" w:rsidRDefault="000732AF" w:rsidP="008B6047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6096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8B6047">
        <w:rPr>
          <w:color w:val="000000"/>
          <w:sz w:val="28"/>
          <w:szCs w:val="28"/>
        </w:rPr>
        <w:t>Проект</w:t>
      </w:r>
    </w:p>
    <w:p w14:paraId="027DBD12" w14:textId="0AD3CEF4" w:rsidR="008B6047" w:rsidRPr="008B6047" w:rsidRDefault="000732AF" w:rsidP="00F87BD7">
      <w:pPr>
        <w:ind w:left="6096"/>
        <w:jc w:val="right"/>
        <w:rPr>
          <w:sz w:val="28"/>
          <w:szCs w:val="28"/>
          <w:lang w:eastAsia="ru-RU"/>
        </w:rPr>
      </w:pPr>
      <w:r w:rsidRPr="008B6047">
        <w:rPr>
          <w:sz w:val="28"/>
          <w:szCs w:val="28"/>
        </w:rPr>
        <w:t xml:space="preserve">вноситься </w:t>
      </w:r>
      <w:r w:rsidR="00F87BD7">
        <w:rPr>
          <w:sz w:val="28"/>
          <w:szCs w:val="28"/>
        </w:rPr>
        <w:t>головою</w:t>
      </w:r>
    </w:p>
    <w:p w14:paraId="00000003" w14:textId="7AB70E20" w:rsidR="00E02BA8" w:rsidRDefault="008B6047" w:rsidP="008B6047">
      <w:pPr>
        <w:ind w:left="6096"/>
        <w:jc w:val="right"/>
        <w:rPr>
          <w:sz w:val="28"/>
          <w:szCs w:val="28"/>
          <w:lang w:eastAsia="ru-RU"/>
        </w:rPr>
      </w:pPr>
      <w:r w:rsidRPr="008B6047">
        <w:rPr>
          <w:sz w:val="28"/>
          <w:szCs w:val="28"/>
          <w:lang w:eastAsia="ru-RU"/>
        </w:rPr>
        <w:t>Тимчасової слідчої комісії</w:t>
      </w:r>
    </w:p>
    <w:p w14:paraId="5BA5D743" w14:textId="05A885E6" w:rsidR="00F87BD7" w:rsidRPr="008B6047" w:rsidRDefault="00F87BD7" w:rsidP="008B6047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  <w:lang w:eastAsia="ru-RU"/>
        </w:rPr>
        <w:t>Горбенком Р.О.</w:t>
      </w:r>
    </w:p>
    <w:p w14:paraId="0000000B" w14:textId="31282173" w:rsidR="00E02BA8" w:rsidRDefault="00E02BA8">
      <w:pPr>
        <w:jc w:val="right"/>
        <w:rPr>
          <w:sz w:val="28"/>
          <w:szCs w:val="28"/>
        </w:rPr>
      </w:pPr>
    </w:p>
    <w:p w14:paraId="6B980B59" w14:textId="77777777" w:rsidR="000C5067" w:rsidRDefault="000C5067">
      <w:pPr>
        <w:jc w:val="right"/>
        <w:rPr>
          <w:sz w:val="28"/>
          <w:szCs w:val="28"/>
        </w:rPr>
      </w:pPr>
    </w:p>
    <w:p w14:paraId="472DB19C" w14:textId="00C22F8F" w:rsidR="000C5067" w:rsidRDefault="000C5067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bookmarkStart w:id="1" w:name="_heading=h.gjdgxs" w:colFirst="0" w:colLast="0"/>
      <w:bookmarkEnd w:id="1"/>
    </w:p>
    <w:p w14:paraId="34A74210" w14:textId="77777777" w:rsidR="000C5067" w:rsidRDefault="000C5067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14:paraId="0000000F" w14:textId="77777777" w:rsidR="00E02BA8" w:rsidRDefault="000732AF">
      <w:pPr>
        <w:pStyle w:val="1"/>
        <w:rPr>
          <w:b/>
        </w:rPr>
      </w:pPr>
      <w:r>
        <w:rPr>
          <w:b/>
        </w:rPr>
        <w:t>ПОСТАНОВА</w:t>
      </w:r>
    </w:p>
    <w:p w14:paraId="00000010" w14:textId="77777777" w:rsidR="00E02BA8" w:rsidRDefault="00073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Верховної Ради України</w:t>
      </w:r>
    </w:p>
    <w:p w14:paraId="00000011" w14:textId="77777777" w:rsidR="00E02BA8" w:rsidRDefault="000732A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Про звіт Тимчасової слідчої комісії Верховної Ради України з питань розслідування причин виникнення у 2020 році масштабних пожеж у Луганській області та дій/ бездіяльності Луганського обласного управління Державної служби України з надзвичайних ситуацій і Луганської обласної державної адміністрації - Луганської обласної військово-цивільної адміністрації щодо вчасного реагування на виникнення та недопущення виникнення подій надзвичайного характеру</w:t>
      </w:r>
    </w:p>
    <w:p w14:paraId="00000013" w14:textId="77777777" w:rsidR="00E02BA8" w:rsidRDefault="00E02BA8">
      <w:pPr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color w:val="000000"/>
          <w:sz w:val="28"/>
          <w:szCs w:val="28"/>
        </w:rPr>
      </w:pPr>
      <w:bookmarkStart w:id="2" w:name="bookmark=id.30j0zll" w:colFirst="0" w:colLast="0"/>
      <w:bookmarkEnd w:id="2"/>
    </w:p>
    <w:p w14:paraId="00000014" w14:textId="74DAF219" w:rsidR="00E02BA8" w:rsidRPr="00E91EE1" w:rsidRDefault="000732AF">
      <w:pPr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sz w:val="28"/>
          <w:szCs w:val="28"/>
        </w:rPr>
      </w:pPr>
      <w:r w:rsidRPr="00E91EE1">
        <w:rPr>
          <w:sz w:val="28"/>
          <w:szCs w:val="28"/>
        </w:rPr>
        <w:t xml:space="preserve">Заслухавши та обговоривши звіт Тимчасової слідчої комісії Верховної Ради України з питань розслідування причин виникнення у 2020 році масштабних пожеж у Луганській області та дій/бездіяльності Луганського обласного управління Державної служби України з надзвичайних ситуацій і Луганської обласної державної адміністрації - Луганської обласної військово-цивільної адміністрації щодо вчасного реагування на виникнення та недопущення виникнення подій надзвичайного характеру, утвореної відповідно до </w:t>
      </w:r>
      <w:hyperlink r:id="rId10">
        <w:r w:rsidRPr="00E91EE1">
          <w:rPr>
            <w:sz w:val="28"/>
            <w:szCs w:val="28"/>
          </w:rPr>
          <w:t>Постанови Верховної Ради України від 2 грудня 2020 року №1047-ІХ</w:t>
        </w:r>
      </w:hyperlink>
      <w:r w:rsidRPr="00E91EE1">
        <w:rPr>
          <w:sz w:val="28"/>
          <w:szCs w:val="28"/>
        </w:rPr>
        <w:t xml:space="preserve">, Верховна Рада України </w:t>
      </w:r>
      <w:r w:rsidRPr="00E91EE1">
        <w:rPr>
          <w:b/>
          <w:sz w:val="28"/>
          <w:szCs w:val="28"/>
        </w:rPr>
        <w:t>постановляє</w:t>
      </w:r>
      <w:r w:rsidRPr="00E91EE1">
        <w:rPr>
          <w:sz w:val="28"/>
          <w:szCs w:val="28"/>
        </w:rPr>
        <w:t>:</w:t>
      </w:r>
    </w:p>
    <w:p w14:paraId="00000015" w14:textId="70513EAE" w:rsidR="00E02BA8" w:rsidRPr="00E91EE1" w:rsidRDefault="000732A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39"/>
        <w:jc w:val="both"/>
        <w:rPr>
          <w:sz w:val="28"/>
          <w:szCs w:val="28"/>
        </w:rPr>
      </w:pPr>
      <w:r w:rsidRPr="00E91EE1">
        <w:rPr>
          <w:sz w:val="28"/>
          <w:szCs w:val="28"/>
        </w:rPr>
        <w:t>1. Звіт Тимчасової слідчої комісії Верховної Ради України взяти до відома.</w:t>
      </w:r>
    </w:p>
    <w:p w14:paraId="77DE7F1C" w14:textId="0A1EE267" w:rsidR="00E91EE1" w:rsidRPr="00E91EE1" w:rsidRDefault="00E91EE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39"/>
        <w:jc w:val="both"/>
        <w:rPr>
          <w:sz w:val="28"/>
          <w:szCs w:val="28"/>
        </w:rPr>
      </w:pPr>
      <w:r w:rsidRPr="00E91EE1">
        <w:rPr>
          <w:sz w:val="28"/>
          <w:szCs w:val="28"/>
        </w:rPr>
        <w:t>2. Відповідно до частини 6 статті 3 та пункту 2 частини 2 статті 22 Закону України «Про тимчасові слідчі комісії і тимчасові спеціальні комісії Верховної Ради України», роботу Тимчасової слідчої комісії вважати завершеною.</w:t>
      </w:r>
    </w:p>
    <w:p w14:paraId="00000016" w14:textId="383C5160" w:rsidR="00E02BA8" w:rsidRPr="00E91EE1" w:rsidRDefault="00E91EE1">
      <w:pPr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sz w:val="28"/>
          <w:szCs w:val="28"/>
        </w:rPr>
      </w:pPr>
      <w:r w:rsidRPr="00E91EE1">
        <w:rPr>
          <w:sz w:val="28"/>
          <w:szCs w:val="28"/>
          <w:lang w:val="ru-RU"/>
        </w:rPr>
        <w:t>3</w:t>
      </w:r>
      <w:r w:rsidR="000732AF" w:rsidRPr="00E91EE1">
        <w:rPr>
          <w:sz w:val="28"/>
          <w:szCs w:val="28"/>
        </w:rPr>
        <w:t>.  Звернутися до Кабінету Міністрів України з пропозицією:</w:t>
      </w:r>
    </w:p>
    <w:p w14:paraId="00000018" w14:textId="7AEC884C" w:rsidR="00E02BA8" w:rsidRPr="00E91EE1" w:rsidRDefault="000732AF">
      <w:pPr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sz w:val="28"/>
          <w:szCs w:val="28"/>
        </w:rPr>
      </w:pPr>
      <w:r w:rsidRPr="00E91EE1">
        <w:rPr>
          <w:sz w:val="28"/>
          <w:szCs w:val="28"/>
        </w:rPr>
        <w:t>- невідкладно розробити та затвердити Порядок надання допомоги особам, які постраждали внаслідок надзвичайної ситуації, який відповіда</w:t>
      </w:r>
      <w:r w:rsidR="00627503" w:rsidRPr="00E91EE1">
        <w:rPr>
          <w:sz w:val="28"/>
          <w:szCs w:val="28"/>
        </w:rPr>
        <w:t>тиме</w:t>
      </w:r>
      <w:r w:rsidRPr="00E91EE1">
        <w:rPr>
          <w:sz w:val="28"/>
          <w:szCs w:val="28"/>
        </w:rPr>
        <w:t xml:space="preserve"> чинному законодавству</w:t>
      </w:r>
      <w:r w:rsidR="00F3646B">
        <w:rPr>
          <w:sz w:val="28"/>
          <w:szCs w:val="28"/>
          <w:lang w:val="ru-RU"/>
        </w:rPr>
        <w:t xml:space="preserve">, в тому </w:t>
      </w:r>
      <w:r w:rsidR="00F3646B" w:rsidRPr="00F3646B">
        <w:rPr>
          <w:sz w:val="28"/>
          <w:szCs w:val="28"/>
        </w:rPr>
        <w:t>числі</w:t>
      </w:r>
      <w:r w:rsidRPr="00F3646B">
        <w:rPr>
          <w:sz w:val="28"/>
          <w:szCs w:val="28"/>
        </w:rPr>
        <w:t xml:space="preserve"> Кодексу цивільного захис</w:t>
      </w:r>
      <w:r w:rsidR="00F3646B" w:rsidRPr="00F3646B">
        <w:rPr>
          <w:sz w:val="28"/>
          <w:szCs w:val="28"/>
        </w:rPr>
        <w:t xml:space="preserve">ту України </w:t>
      </w:r>
      <w:r w:rsidR="00627503" w:rsidRPr="00F3646B">
        <w:rPr>
          <w:sz w:val="28"/>
          <w:szCs w:val="28"/>
        </w:rPr>
        <w:t xml:space="preserve">та </w:t>
      </w:r>
      <w:r w:rsidRPr="00F3646B">
        <w:rPr>
          <w:sz w:val="28"/>
          <w:szCs w:val="28"/>
        </w:rPr>
        <w:t>передбачати</w:t>
      </w:r>
      <w:r w:rsidR="00627503" w:rsidRPr="00F3646B">
        <w:rPr>
          <w:sz w:val="28"/>
          <w:szCs w:val="28"/>
        </w:rPr>
        <w:t>ме</w:t>
      </w:r>
      <w:r w:rsidRPr="00F3646B">
        <w:rPr>
          <w:sz w:val="28"/>
          <w:szCs w:val="28"/>
        </w:rPr>
        <w:t xml:space="preserve"> вичерпний перелік документів, порядок їх подання, розгляду, прийняття рішення про виплату</w:t>
      </w:r>
      <w:r w:rsidRPr="00E91EE1">
        <w:rPr>
          <w:sz w:val="28"/>
          <w:szCs w:val="28"/>
        </w:rPr>
        <w:t xml:space="preserve"> допомоги, вичерпний перелік причин на підставі яких може бути прийнято рішення про відмову у наданні допомоги та строки і </w:t>
      </w:r>
      <w:r w:rsidR="007A678C" w:rsidRPr="00E91EE1">
        <w:rPr>
          <w:sz w:val="28"/>
          <w:szCs w:val="28"/>
        </w:rPr>
        <w:t xml:space="preserve">детальний </w:t>
      </w:r>
      <w:r w:rsidRPr="00E91EE1">
        <w:rPr>
          <w:sz w:val="28"/>
          <w:szCs w:val="28"/>
        </w:rPr>
        <w:t>порядок виплати допомоги</w:t>
      </w:r>
      <w:r w:rsidR="007A678C" w:rsidRPr="00E91EE1">
        <w:rPr>
          <w:sz w:val="28"/>
          <w:szCs w:val="28"/>
        </w:rPr>
        <w:t>, джерела виплат</w:t>
      </w:r>
      <w:r w:rsidRPr="00E91EE1">
        <w:rPr>
          <w:sz w:val="28"/>
          <w:szCs w:val="28"/>
        </w:rPr>
        <w:t xml:space="preserve"> постраждалим особам</w:t>
      </w:r>
      <w:r w:rsidR="007A678C" w:rsidRPr="00E91EE1">
        <w:rPr>
          <w:sz w:val="28"/>
          <w:szCs w:val="28"/>
        </w:rPr>
        <w:t xml:space="preserve"> тощо</w:t>
      </w:r>
      <w:r w:rsidRPr="00E91EE1">
        <w:rPr>
          <w:sz w:val="28"/>
          <w:szCs w:val="28"/>
        </w:rPr>
        <w:t>; </w:t>
      </w:r>
    </w:p>
    <w:p w14:paraId="00000019" w14:textId="2ED9F9DF" w:rsidR="00E02BA8" w:rsidRPr="00E91EE1" w:rsidRDefault="000732AF" w:rsidP="008B6047">
      <w:pPr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sz w:val="28"/>
          <w:szCs w:val="28"/>
        </w:rPr>
      </w:pPr>
      <w:r w:rsidRPr="00E91EE1">
        <w:rPr>
          <w:sz w:val="28"/>
          <w:szCs w:val="28"/>
        </w:rPr>
        <w:lastRenderedPageBreak/>
        <w:t>- розробити і подати у 2021 році на розгляд до Верховної Ради України проект Закону України щодо порядку відшкодування матеріальних збитків постраждалим внаслідок надзвичайних ситуацій, як це передбачено статтею 85 Кодексу цивільного захисту України;</w:t>
      </w:r>
    </w:p>
    <w:p w14:paraId="0000001A" w14:textId="4218A4B9" w:rsidR="00E02BA8" w:rsidRPr="00E91EE1" w:rsidRDefault="000732AF" w:rsidP="008B6047">
      <w:pPr>
        <w:ind w:firstLine="860"/>
        <w:jc w:val="both"/>
        <w:rPr>
          <w:sz w:val="28"/>
          <w:szCs w:val="28"/>
        </w:rPr>
      </w:pPr>
      <w:r w:rsidRPr="00E91EE1">
        <w:rPr>
          <w:sz w:val="28"/>
          <w:szCs w:val="28"/>
        </w:rPr>
        <w:t xml:space="preserve">- з метою забезпечення належного рівня координації в одному центральному органі виконавчої влади всіх питань пов’язаних із виконанням Кодексу цивільного захисту населення України розглянути доцільність </w:t>
      </w:r>
      <w:r w:rsidR="007A678C" w:rsidRPr="00E91EE1">
        <w:rPr>
          <w:sz w:val="28"/>
          <w:szCs w:val="28"/>
        </w:rPr>
        <w:t xml:space="preserve">підпорядкування </w:t>
      </w:r>
      <w:r w:rsidRPr="00E91EE1">
        <w:rPr>
          <w:sz w:val="28"/>
          <w:szCs w:val="28"/>
        </w:rPr>
        <w:t>Державної служби України з надзвичайних ситуацій безпосередньо Прем’єр-міністру України</w:t>
      </w:r>
      <w:r w:rsidR="007A678C" w:rsidRPr="00E91EE1">
        <w:rPr>
          <w:sz w:val="28"/>
          <w:szCs w:val="28"/>
        </w:rPr>
        <w:t xml:space="preserve"> або реорганізації цієї Служби у окреме міністерство</w:t>
      </w:r>
      <w:r w:rsidRPr="00E91EE1">
        <w:rPr>
          <w:sz w:val="28"/>
          <w:szCs w:val="28"/>
        </w:rPr>
        <w:t>;</w:t>
      </w:r>
    </w:p>
    <w:p w14:paraId="0000001B" w14:textId="77777777" w:rsidR="00E02BA8" w:rsidRPr="00E91EE1" w:rsidRDefault="000732AF" w:rsidP="008B6047">
      <w:pPr>
        <w:ind w:firstLine="700"/>
        <w:jc w:val="both"/>
        <w:rPr>
          <w:sz w:val="28"/>
          <w:szCs w:val="28"/>
        </w:rPr>
      </w:pPr>
      <w:r w:rsidRPr="00E91EE1">
        <w:rPr>
          <w:sz w:val="28"/>
          <w:szCs w:val="28"/>
        </w:rPr>
        <w:t>- передбачити виділення коштів на встановлення та забезпечення функціонування в Луганській області автоматизованої системи централізованого оповіщення про загрозу виникнення або виникнення надзвичайних ситуацій;</w:t>
      </w:r>
    </w:p>
    <w:p w14:paraId="0000001C" w14:textId="58496F68" w:rsidR="00E02BA8" w:rsidRPr="00E91EE1" w:rsidRDefault="000732AF" w:rsidP="008B6047">
      <w:pPr>
        <w:ind w:firstLine="700"/>
        <w:jc w:val="both"/>
        <w:rPr>
          <w:sz w:val="28"/>
          <w:szCs w:val="28"/>
        </w:rPr>
      </w:pPr>
      <w:r w:rsidRPr="00E91EE1">
        <w:rPr>
          <w:sz w:val="28"/>
          <w:szCs w:val="28"/>
        </w:rPr>
        <w:t>- перевірити дотримання вимог Постанови Кабінету Міністрів України від 27 вересня 2017 року №733 на території інших областей України та вжити заходів щодо фінансування автоматизованої системи централізованого оповіщення про загрозу виникнення або виникнення надзвичайних ситуацій в усіх населених пунктах України.</w:t>
      </w:r>
    </w:p>
    <w:p w14:paraId="1443BBF4" w14:textId="292F54C6" w:rsidR="0074126E" w:rsidRPr="00E91EE1" w:rsidRDefault="00E91EE1" w:rsidP="008B6047">
      <w:pPr>
        <w:ind w:firstLine="700"/>
        <w:jc w:val="both"/>
        <w:rPr>
          <w:sz w:val="28"/>
          <w:szCs w:val="28"/>
        </w:rPr>
      </w:pPr>
      <w:r w:rsidRPr="00E91EE1">
        <w:rPr>
          <w:sz w:val="28"/>
          <w:szCs w:val="28"/>
        </w:rPr>
        <w:t>4</w:t>
      </w:r>
      <w:r w:rsidR="0074126E" w:rsidRPr="00E91EE1">
        <w:rPr>
          <w:sz w:val="28"/>
          <w:szCs w:val="28"/>
        </w:rPr>
        <w:t xml:space="preserve">. Звернути увагу Генерального прокурора України </w:t>
      </w:r>
      <w:r w:rsidR="009C2681" w:rsidRPr="00E91EE1">
        <w:rPr>
          <w:sz w:val="28"/>
          <w:szCs w:val="28"/>
        </w:rPr>
        <w:t xml:space="preserve">на </w:t>
      </w:r>
      <w:r w:rsidR="0074126E" w:rsidRPr="00E91EE1">
        <w:rPr>
          <w:sz w:val="28"/>
          <w:szCs w:val="28"/>
        </w:rPr>
        <w:t xml:space="preserve">розпорошення серед різних органів досудового розслідування кримінальних проваджень </w:t>
      </w:r>
      <w:r w:rsidR="00AE5F49" w:rsidRPr="00E91EE1">
        <w:rPr>
          <w:sz w:val="28"/>
          <w:szCs w:val="28"/>
        </w:rPr>
        <w:t xml:space="preserve">за фактами масштабних лісових пожеж на території Луганської області </w:t>
      </w:r>
      <w:r w:rsidR="009C2681" w:rsidRPr="00E91EE1">
        <w:rPr>
          <w:sz w:val="28"/>
          <w:szCs w:val="28"/>
        </w:rPr>
        <w:t>у</w:t>
      </w:r>
      <w:r w:rsidR="00AE5F49" w:rsidRPr="00E91EE1">
        <w:rPr>
          <w:sz w:val="28"/>
          <w:szCs w:val="28"/>
        </w:rPr>
        <w:t xml:space="preserve"> 2020 році внаслідок яких загинуло 16 осіб</w:t>
      </w:r>
      <w:r w:rsidR="009C2681" w:rsidRPr="00E91EE1">
        <w:rPr>
          <w:sz w:val="28"/>
          <w:szCs w:val="28"/>
        </w:rPr>
        <w:t xml:space="preserve">, неналежне розслідування цих справ та намагання перекласти відповідальність за тяжкі наслідки пожеж на рядових співробітників </w:t>
      </w:r>
      <w:r w:rsidR="00F87BD7" w:rsidRPr="00E813E6">
        <w:rPr>
          <w:color w:val="000000"/>
          <w:sz w:val="28"/>
          <w:szCs w:val="28"/>
          <w:lang w:eastAsia="ru-RU"/>
        </w:rPr>
        <w:t xml:space="preserve">Головного управління Державної служби з надзвичайних ситуацій </w:t>
      </w:r>
      <w:r w:rsidR="00F87BD7">
        <w:rPr>
          <w:color w:val="000000"/>
          <w:sz w:val="28"/>
          <w:szCs w:val="28"/>
          <w:lang w:eastAsia="ru-RU"/>
        </w:rPr>
        <w:t xml:space="preserve">України </w:t>
      </w:r>
      <w:r w:rsidR="00F87BD7" w:rsidRPr="00E813E6">
        <w:rPr>
          <w:color w:val="000000"/>
          <w:sz w:val="28"/>
          <w:szCs w:val="28"/>
          <w:lang w:eastAsia="ru-RU"/>
        </w:rPr>
        <w:t xml:space="preserve">в Луганській </w:t>
      </w:r>
      <w:r w:rsidR="00F87BD7" w:rsidRPr="007A2FD3">
        <w:rPr>
          <w:color w:val="000000"/>
          <w:sz w:val="28"/>
          <w:szCs w:val="28"/>
          <w:lang w:eastAsia="ru-RU"/>
        </w:rPr>
        <w:t>області</w:t>
      </w:r>
      <w:r w:rsidR="00F87BD7">
        <w:rPr>
          <w:color w:val="000000"/>
          <w:sz w:val="28"/>
          <w:szCs w:val="28"/>
          <w:lang w:eastAsia="ru-RU"/>
        </w:rPr>
        <w:t>.</w:t>
      </w:r>
    </w:p>
    <w:p w14:paraId="0000001D" w14:textId="4B980C33" w:rsidR="00E02BA8" w:rsidRPr="00E91EE1" w:rsidRDefault="00E91EE1" w:rsidP="008B6047">
      <w:pPr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sz w:val="28"/>
          <w:szCs w:val="28"/>
        </w:rPr>
      </w:pPr>
      <w:r w:rsidRPr="00E91EE1">
        <w:rPr>
          <w:sz w:val="28"/>
          <w:szCs w:val="28"/>
        </w:rPr>
        <w:t>5</w:t>
      </w:r>
      <w:r w:rsidR="000732AF" w:rsidRPr="00E91EE1">
        <w:rPr>
          <w:sz w:val="28"/>
          <w:szCs w:val="28"/>
        </w:rPr>
        <w:t>. Звернутися до Президента Укра</w:t>
      </w:r>
      <w:r w:rsidR="00630290">
        <w:rPr>
          <w:sz w:val="28"/>
          <w:szCs w:val="28"/>
        </w:rPr>
        <w:t>їни, Кабінету Міністрів України</w:t>
      </w:r>
      <w:r w:rsidR="000732AF" w:rsidRPr="00E91EE1">
        <w:rPr>
          <w:sz w:val="28"/>
          <w:szCs w:val="28"/>
        </w:rPr>
        <w:t xml:space="preserve"> з пропозицією ініціювати питання звільнення голови Луганської обласної державної адміністрації – керівника обласної військово-цивільної адміністрації Гайдая Сергія Володимировича та керівника військово-цивільної адміністрації м.Сєвєродонецьк Луганської області Стрюка Олександра Сергійовича з займаних посад.</w:t>
      </w:r>
    </w:p>
    <w:p w14:paraId="0000001E" w14:textId="79F8BFF9" w:rsidR="00E02BA8" w:rsidRPr="00E91EE1" w:rsidRDefault="00E91EE1" w:rsidP="008B6047">
      <w:pPr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sz w:val="28"/>
          <w:szCs w:val="28"/>
        </w:rPr>
      </w:pPr>
      <w:r w:rsidRPr="00E91EE1">
        <w:rPr>
          <w:sz w:val="28"/>
          <w:szCs w:val="28"/>
        </w:rPr>
        <w:t>6</w:t>
      </w:r>
      <w:r w:rsidR="000732AF" w:rsidRPr="00E91EE1">
        <w:rPr>
          <w:sz w:val="28"/>
          <w:szCs w:val="28"/>
        </w:rPr>
        <w:t xml:space="preserve">. Доручити Голові Верховної Ради України невідкладно направити Звіт Комісії Президенту України, Кабінету Міністрів України, Офісу Генеральної прокуратури, Служби безпеки України, Національній поліції України, Міністерству внутрішніх справ України, </w:t>
      </w:r>
      <w:r w:rsidR="003B52DD" w:rsidRPr="00E91EE1">
        <w:rPr>
          <w:sz w:val="28"/>
          <w:szCs w:val="28"/>
        </w:rPr>
        <w:t>Державному бюро розслідувань</w:t>
      </w:r>
      <w:r w:rsidRPr="00E91EE1">
        <w:rPr>
          <w:sz w:val="28"/>
          <w:szCs w:val="28"/>
        </w:rPr>
        <w:t xml:space="preserve"> України</w:t>
      </w:r>
      <w:r w:rsidR="003B52DD" w:rsidRPr="00E91EE1">
        <w:rPr>
          <w:sz w:val="28"/>
          <w:szCs w:val="28"/>
        </w:rPr>
        <w:t xml:space="preserve"> </w:t>
      </w:r>
      <w:r w:rsidR="000732AF" w:rsidRPr="00E91EE1">
        <w:rPr>
          <w:sz w:val="28"/>
          <w:szCs w:val="28"/>
        </w:rPr>
        <w:t>з метою перевірки викладеної у ньому інформації та, за наявності підстав, вжиття зазначеними органами передбачених законом заходів реагування.</w:t>
      </w:r>
    </w:p>
    <w:p w14:paraId="0000001F" w14:textId="2EAE8121" w:rsidR="00E02BA8" w:rsidRPr="00E91EE1" w:rsidRDefault="00E91EE1">
      <w:pPr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sz w:val="28"/>
          <w:szCs w:val="28"/>
        </w:rPr>
      </w:pPr>
      <w:r w:rsidRPr="00E91EE1">
        <w:rPr>
          <w:sz w:val="28"/>
          <w:szCs w:val="28"/>
          <w:lang w:val="ru-RU"/>
        </w:rPr>
        <w:t>7</w:t>
      </w:r>
      <w:r w:rsidR="000732AF" w:rsidRPr="00E91EE1">
        <w:rPr>
          <w:sz w:val="28"/>
          <w:szCs w:val="28"/>
        </w:rPr>
        <w:t>. Звіт Комісії опублікувати у газеті «Голос України», а також оприлюднити на офіційному веб-сайті Верховної Ради України.</w:t>
      </w:r>
    </w:p>
    <w:p w14:paraId="00000020" w14:textId="3783D11E" w:rsidR="00E02BA8" w:rsidRPr="00E91EE1" w:rsidRDefault="00E91EE1">
      <w:pPr>
        <w:ind w:firstLine="539"/>
        <w:jc w:val="both"/>
        <w:rPr>
          <w:sz w:val="28"/>
          <w:szCs w:val="28"/>
        </w:rPr>
      </w:pPr>
      <w:r w:rsidRPr="00E91EE1">
        <w:rPr>
          <w:sz w:val="28"/>
          <w:szCs w:val="28"/>
          <w:lang w:val="ru-RU"/>
        </w:rPr>
        <w:t>8</w:t>
      </w:r>
      <w:r w:rsidR="000732AF" w:rsidRPr="00E91EE1">
        <w:rPr>
          <w:sz w:val="28"/>
          <w:szCs w:val="28"/>
        </w:rPr>
        <w:t>. Ця Постанова набирає чинності з дня її прийняття.</w:t>
      </w:r>
    </w:p>
    <w:p w14:paraId="00000021" w14:textId="77777777" w:rsidR="00E02BA8" w:rsidRPr="00E91EE1" w:rsidRDefault="00E02BA8">
      <w:pPr>
        <w:ind w:firstLine="540"/>
        <w:rPr>
          <w:b/>
          <w:sz w:val="28"/>
          <w:szCs w:val="28"/>
        </w:rPr>
      </w:pPr>
    </w:p>
    <w:p w14:paraId="00000024" w14:textId="6147788C" w:rsidR="00E02BA8" w:rsidRPr="00F87BD7" w:rsidRDefault="000732AF" w:rsidP="00F87BD7">
      <w:pPr>
        <w:ind w:firstLine="540"/>
        <w:rPr>
          <w:b/>
          <w:sz w:val="28"/>
          <w:szCs w:val="28"/>
        </w:rPr>
      </w:pPr>
      <w:r w:rsidRPr="00E91EE1">
        <w:rPr>
          <w:b/>
          <w:sz w:val="28"/>
          <w:szCs w:val="28"/>
        </w:rPr>
        <w:t>Голова Верховної Ради</w:t>
      </w:r>
      <w:r w:rsidR="00F87BD7">
        <w:rPr>
          <w:b/>
          <w:sz w:val="28"/>
          <w:szCs w:val="28"/>
        </w:rPr>
        <w:t xml:space="preserve"> </w:t>
      </w:r>
      <w:r w:rsidRPr="00E91EE1">
        <w:rPr>
          <w:b/>
          <w:sz w:val="28"/>
          <w:szCs w:val="28"/>
        </w:rPr>
        <w:t>України</w:t>
      </w:r>
    </w:p>
    <w:sectPr w:rsidR="00E02BA8" w:rsidRPr="00F87BD7" w:rsidSect="008B6047">
      <w:footerReference w:type="default" r:id="rId11"/>
      <w:pgSz w:w="12240" w:h="15840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B3B12" w14:textId="77777777" w:rsidR="00AA3825" w:rsidRDefault="00AA3825">
      <w:r>
        <w:separator/>
      </w:r>
    </w:p>
  </w:endnote>
  <w:endnote w:type="continuationSeparator" w:id="0">
    <w:p w14:paraId="39F6F6A8" w14:textId="77777777" w:rsidR="00AA3825" w:rsidRDefault="00AA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Century Gothic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6" w14:textId="05614B7C" w:rsidR="00E02BA8" w:rsidRDefault="000732AF" w:rsidP="00E91EE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C1AAD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8C228" w14:textId="77777777" w:rsidR="00AA3825" w:rsidRDefault="00AA3825">
      <w:r>
        <w:separator/>
      </w:r>
    </w:p>
  </w:footnote>
  <w:footnote w:type="continuationSeparator" w:id="0">
    <w:p w14:paraId="1D2BE26B" w14:textId="77777777" w:rsidR="00AA3825" w:rsidRDefault="00AA3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A8"/>
    <w:rsid w:val="00067C85"/>
    <w:rsid w:val="000732AF"/>
    <w:rsid w:val="000C5067"/>
    <w:rsid w:val="00191DEC"/>
    <w:rsid w:val="003B52DD"/>
    <w:rsid w:val="00627503"/>
    <w:rsid w:val="00630290"/>
    <w:rsid w:val="00676A16"/>
    <w:rsid w:val="00726733"/>
    <w:rsid w:val="0074126E"/>
    <w:rsid w:val="007A678C"/>
    <w:rsid w:val="008B6047"/>
    <w:rsid w:val="008C1AAD"/>
    <w:rsid w:val="009572C6"/>
    <w:rsid w:val="009C2681"/>
    <w:rsid w:val="00A20E2E"/>
    <w:rsid w:val="00AA3825"/>
    <w:rsid w:val="00AE5F49"/>
    <w:rsid w:val="00B673F3"/>
    <w:rsid w:val="00DD40B1"/>
    <w:rsid w:val="00E02BA8"/>
    <w:rsid w:val="00E91EE1"/>
    <w:rsid w:val="00F3646B"/>
    <w:rsid w:val="00F87BD7"/>
    <w:rsid w:val="00FE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0A460"/>
  <w15:docId w15:val="{7215406E-2CB2-4BB7-B240-369CFB19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294"/>
  </w:style>
  <w:style w:type="paragraph" w:styleId="1">
    <w:name w:val="heading 1"/>
    <w:basedOn w:val="a"/>
    <w:next w:val="a"/>
    <w:link w:val="10"/>
    <w:qFormat/>
    <w:rsid w:val="00610294"/>
    <w:pPr>
      <w:keepNext/>
      <w:jc w:val="center"/>
      <w:outlineLvl w:val="0"/>
    </w:pPr>
    <w:rPr>
      <w:rFonts w:eastAsia="Calibri"/>
      <w:sz w:val="28"/>
      <w:lang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610294"/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styleId="a4">
    <w:name w:val="Hyperlink"/>
    <w:basedOn w:val="a0"/>
    <w:semiHidden/>
    <w:unhideWhenUsed/>
    <w:rsid w:val="00610294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102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semiHidden/>
    <w:rsid w:val="00610294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rvps6">
    <w:name w:val="rvps6"/>
    <w:basedOn w:val="a"/>
    <w:rsid w:val="00610294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610294"/>
    <w:pPr>
      <w:spacing w:before="100" w:beforeAutospacing="1" w:after="100" w:afterAutospacing="1"/>
    </w:pPr>
  </w:style>
  <w:style w:type="paragraph" w:customStyle="1" w:styleId="a5">
    <w:name w:val="Нормальний текст"/>
    <w:basedOn w:val="a"/>
    <w:rsid w:val="00610294"/>
    <w:pPr>
      <w:spacing w:before="120"/>
      <w:ind w:firstLine="567"/>
      <w:jc w:val="both"/>
    </w:pPr>
    <w:rPr>
      <w:rFonts w:ascii="Antiqua" w:eastAsia="Calibri" w:hAnsi="Antiqua" w:cs="Antiqua"/>
      <w:sz w:val="26"/>
      <w:szCs w:val="26"/>
      <w:lang w:eastAsia="ru-RU"/>
    </w:rPr>
  </w:style>
  <w:style w:type="paragraph" w:customStyle="1" w:styleId="a6">
    <w:name w:val="Назва документа"/>
    <w:basedOn w:val="a"/>
    <w:next w:val="a5"/>
    <w:rsid w:val="00610294"/>
    <w:pPr>
      <w:keepNext/>
      <w:keepLines/>
      <w:spacing w:before="360" w:after="360"/>
      <w:jc w:val="center"/>
    </w:pPr>
    <w:rPr>
      <w:rFonts w:ascii="Antiqua" w:eastAsia="Calibri" w:hAnsi="Antiqua" w:cs="Antiqua"/>
      <w:b/>
      <w:bCs/>
      <w:sz w:val="26"/>
      <w:szCs w:val="26"/>
      <w:lang w:eastAsia="ru-RU"/>
    </w:rPr>
  </w:style>
  <w:style w:type="character" w:customStyle="1" w:styleId="rvts23">
    <w:name w:val="rvts23"/>
    <w:basedOn w:val="a0"/>
    <w:rsid w:val="00610294"/>
  </w:style>
  <w:style w:type="character" w:customStyle="1" w:styleId="rvts52">
    <w:name w:val="rvts52"/>
    <w:basedOn w:val="a0"/>
    <w:rsid w:val="00610294"/>
  </w:style>
  <w:style w:type="character" w:customStyle="1" w:styleId="rvts44">
    <w:name w:val="rvts44"/>
    <w:basedOn w:val="a0"/>
    <w:rsid w:val="00610294"/>
  </w:style>
  <w:style w:type="character" w:customStyle="1" w:styleId="rvts0">
    <w:name w:val="rvts0"/>
    <w:basedOn w:val="a0"/>
    <w:rsid w:val="00610294"/>
  </w:style>
  <w:style w:type="paragraph" w:styleId="a7">
    <w:name w:val="Balloon Text"/>
    <w:basedOn w:val="a"/>
    <w:link w:val="a8"/>
    <w:uiPriority w:val="99"/>
    <w:semiHidden/>
    <w:unhideWhenUsed/>
    <w:rsid w:val="00315F9E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15F9E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9">
    <w:name w:val="header"/>
    <w:basedOn w:val="a"/>
    <w:link w:val="aa"/>
    <w:uiPriority w:val="99"/>
    <w:unhideWhenUsed/>
    <w:rsid w:val="003D4DF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3D4DF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footer"/>
    <w:basedOn w:val="a"/>
    <w:link w:val="ac"/>
    <w:uiPriority w:val="99"/>
    <w:unhideWhenUsed/>
    <w:rsid w:val="003D4DF6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3D4DF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d">
    <w:name w:val="FollowedHyperlink"/>
    <w:basedOn w:val="a0"/>
    <w:uiPriority w:val="99"/>
    <w:semiHidden/>
    <w:unhideWhenUsed/>
    <w:rsid w:val="00C82B2D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BA39F7"/>
    <w:pPr>
      <w:spacing w:before="100" w:beforeAutospacing="1" w:after="100" w:afterAutospacing="1"/>
    </w:p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0">
    <w:name w:val="List Paragraph"/>
    <w:basedOn w:val="a"/>
    <w:uiPriority w:val="34"/>
    <w:qFormat/>
    <w:rsid w:val="00E91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zakon.rada.gov.ua/laws/show/2605-viii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SHkNKtmNoccq5N6NYm6xzQWBwA==">AMUW2mVo5ZzE5IQhK2bd7C9EBLBK/fEouYdlikHiXrn22bCXNyrkE4HlbadFLbgBk0dwb0KzzSUHbGRwR+f+mtiVTMqvH1RZL3a6Ccz2qbv6G4z/ilAnblSnexWHLyFCxQqqHjWwYPRLO52dA0JQhogUQH86ftkIWA==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77F861-08F6-4B3A-8870-21CE6CB046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C5D762-DA04-4A62-A535-D71F53DFDC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FBC0B0B3-4047-40FF-A1A4-6DD85131C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2996</Words>
  <Characters>1708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2021-06-01T07:21:00Z</dcterms:created>
  <dcterms:modified xsi:type="dcterms:W3CDTF">2021-06-01T07:21:00Z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