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84" w:rsidRPr="00543284" w:rsidRDefault="00543284" w:rsidP="00543284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284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:rsidR="00543284" w:rsidRPr="00543284" w:rsidRDefault="00543284" w:rsidP="00543284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543284">
        <w:rPr>
          <w:rFonts w:ascii="Times New Roman" w:hAnsi="Times New Roman"/>
          <w:b/>
          <w:sz w:val="28"/>
          <w:szCs w:val="28"/>
          <w:lang w:val="uk-UA"/>
        </w:rPr>
        <w:t xml:space="preserve">щодо проєкту Закону України «Про внесення змін до Загальнодержавної програми зняття з експлуатації Чорнобильської АЕС та перетворення об'єкта "Укриття" на екологічно безпечну систему» </w:t>
      </w:r>
    </w:p>
    <w:p w:rsidR="00543284" w:rsidRPr="00543284" w:rsidRDefault="00543284" w:rsidP="00543284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543284">
        <w:rPr>
          <w:rFonts w:ascii="Times New Roman" w:hAnsi="Times New Roman"/>
          <w:b/>
          <w:sz w:val="28"/>
          <w:szCs w:val="28"/>
          <w:lang w:val="uk-UA"/>
        </w:rPr>
        <w:t>(реєстр. № 5602 від 03.06.2021 р., Кабінет Міністрів України)</w:t>
      </w:r>
      <w:r w:rsidR="00074107">
        <w:rPr>
          <w:rStyle w:val="ab"/>
          <w:rFonts w:ascii="Times New Roman" w:hAnsi="Times New Roman"/>
          <w:b/>
          <w:sz w:val="28"/>
          <w:szCs w:val="28"/>
          <w:lang w:val="uk-UA"/>
        </w:rPr>
        <w:footnoteReference w:id="1"/>
      </w:r>
    </w:p>
    <w:p w:rsidR="00543284" w:rsidRPr="00543284" w:rsidRDefault="00543284" w:rsidP="00543284">
      <w:pPr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sz w:val="28"/>
          <w:szCs w:val="28"/>
          <w:lang w:val="uk-UA"/>
        </w:rPr>
      </w:pPr>
    </w:p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284">
        <w:rPr>
          <w:rFonts w:ascii="Times New Roman" w:hAnsi="Times New Roman"/>
          <w:b/>
          <w:sz w:val="28"/>
          <w:szCs w:val="28"/>
          <w:lang w:val="uk-UA"/>
        </w:rPr>
        <w:t>1. Загальна характеристика законопроєкту.</w:t>
      </w:r>
    </w:p>
    <w:p w:rsidR="00543284" w:rsidRDefault="00543284" w:rsidP="00543284">
      <w:pPr>
        <w:pStyle w:val="rvps2"/>
        <w:tabs>
          <w:tab w:val="left" w:pos="851"/>
        </w:tabs>
        <w:spacing w:before="6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3284">
        <w:rPr>
          <w:sz w:val="28"/>
          <w:szCs w:val="28"/>
          <w:lang w:val="uk-UA"/>
        </w:rPr>
        <w:t xml:space="preserve">Прийняття проєкту Закону, як зазначено у пояснювальній записці, «дозволить затвердити єдиний документ щодо визначення діяльності зі зняття з експлуатації Чорнобильської АЕС та перетворення об’єкта «Укриття» на екологічно безпечну систему і бюджетного фінансування цієї діяльності до 2031 року». </w:t>
      </w:r>
    </w:p>
    <w:p w:rsidR="00BA6EC0" w:rsidRDefault="00BA6EC0" w:rsidP="00543284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bCs/>
          <w:sz w:val="28"/>
          <w:szCs w:val="28"/>
          <w:lang w:val="uk-UA"/>
        </w:rPr>
      </w:pPr>
    </w:p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284">
        <w:rPr>
          <w:rFonts w:ascii="Times New Roman" w:eastAsia="Verdana" w:hAnsi="Times New Roman"/>
          <w:b/>
          <w:bCs/>
          <w:sz w:val="28"/>
          <w:szCs w:val="28"/>
          <w:lang w:val="uk-UA"/>
        </w:rPr>
        <w:t>2.  </w:t>
      </w:r>
      <w:r w:rsidRPr="00543284">
        <w:rPr>
          <w:rFonts w:ascii="Times New Roman" w:hAnsi="Times New Roman"/>
          <w:b/>
          <w:bCs/>
          <w:sz w:val="28"/>
          <w:szCs w:val="28"/>
          <w:lang w:val="uk-UA"/>
        </w:rPr>
        <w:t>Належність законопроєкту за предметом правового регулювання до міжнародно-правових зобов’язань України у сфері європейської інтеграції та сфери дії права Європейського Союзу.</w:t>
      </w:r>
    </w:p>
    <w:p w:rsidR="00543284" w:rsidRPr="00543284" w:rsidRDefault="00543284" w:rsidP="00543284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3284">
        <w:rPr>
          <w:rFonts w:ascii="Times New Roman" w:hAnsi="Times New Roman"/>
          <w:sz w:val="28"/>
          <w:szCs w:val="28"/>
          <w:lang w:val="uk-UA"/>
        </w:rPr>
        <w:t>Предмет правового регулювання законопроєкту охоплюється положеннями глави 1 «Співробітництво у сфері енергетики, включаючи ядерну енергетику», глави 6 «Навколишнє середовище» розділу V «Економічне та галузеве співробітництво» та додатку ХХХ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3284">
        <w:rPr>
          <w:rFonts w:ascii="Times New Roman" w:hAnsi="Times New Roman"/>
          <w:sz w:val="28"/>
          <w:szCs w:val="28"/>
          <w:lang w:val="uk-UA"/>
        </w:rPr>
        <w:t>Правовідносини, які є предметом правового регулювання законопроєкту, в Європейському Союзі регулюються: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i/>
          <w:color w:val="000000"/>
        </w:rPr>
        <w:t>Конвенцією про оцінку впливу на навколишнє середовище у транскордонному контексті від 25 лютого 1991 року</w:t>
      </w:r>
      <w:r w:rsidRPr="00543284">
        <w:rPr>
          <w:rStyle w:val="ab"/>
          <w:i/>
          <w:color w:val="000000"/>
        </w:rPr>
        <w:footnoteReference w:id="2"/>
      </w:r>
      <w:r w:rsidRPr="00543284">
        <w:rPr>
          <w:i/>
          <w:color w:val="000000"/>
        </w:rPr>
        <w:t xml:space="preserve"> </w:t>
      </w:r>
      <w:r w:rsidRPr="00543284">
        <w:rPr>
          <w:color w:val="000000"/>
        </w:rPr>
        <w:t xml:space="preserve">(далі – Конвенція </w:t>
      </w:r>
      <w:proofErr w:type="spellStart"/>
      <w:r w:rsidRPr="00543284">
        <w:rPr>
          <w:color w:val="000000"/>
        </w:rPr>
        <w:t>Еспо</w:t>
      </w:r>
      <w:proofErr w:type="spellEnd"/>
      <w:r w:rsidRPr="00543284">
        <w:rPr>
          <w:color w:val="000000"/>
        </w:rPr>
        <w:t>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i/>
          <w:color w:val="000000"/>
        </w:rPr>
        <w:lastRenderedPageBreak/>
        <w:t xml:space="preserve">Протоколом про стратегічну екологічну оцінку до Конвенції про оцінку впливу на навколишнє середовище у транскордонному </w:t>
      </w:r>
      <w:r w:rsidRPr="00543284">
        <w:rPr>
          <w:i/>
        </w:rPr>
        <w:t>контексті від 2003 року</w:t>
      </w:r>
      <w:r w:rsidRPr="00543284">
        <w:rPr>
          <w:rStyle w:val="ab"/>
          <w:i/>
        </w:rPr>
        <w:footnoteReference w:id="3"/>
      </w:r>
      <w:r w:rsidRPr="00543284">
        <w:rPr>
          <w:color w:val="FF0000"/>
        </w:rPr>
        <w:t xml:space="preserve"> </w:t>
      </w:r>
      <w:r w:rsidRPr="00543284">
        <w:rPr>
          <w:color w:val="000000"/>
        </w:rPr>
        <w:t>(далі – Протокол);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copre"/>
        </w:rPr>
      </w:pPr>
      <w:r w:rsidRPr="00543284">
        <w:rPr>
          <w:rStyle w:val="acopre"/>
          <w:i/>
        </w:rPr>
        <w:t xml:space="preserve">Рішенням Ради 2008/871/ЄС від 20 жовтня 2008 р. щодо затвердження від імені Європейського Співтовариства Протоколу про стратегічну екологічну оцінку до Конвенції Європейської економічної комісії </w:t>
      </w:r>
      <w:r w:rsidRPr="00543284">
        <w:rPr>
          <w:rStyle w:val="acopre"/>
          <w:i/>
          <w:iCs/>
        </w:rPr>
        <w:t>ООН</w:t>
      </w:r>
      <w:r w:rsidRPr="00543284">
        <w:rPr>
          <w:rStyle w:val="acopre"/>
          <w:i/>
        </w:rPr>
        <w:t xml:space="preserve"> від 25 лютого 1991 року</w:t>
      </w:r>
      <w:r w:rsidRPr="00543284">
        <w:rPr>
          <w:rStyle w:val="acopre"/>
        </w:rPr>
        <w:t xml:space="preserve"> </w:t>
      </w:r>
      <w:r w:rsidRPr="00543284">
        <w:rPr>
          <w:rStyle w:val="acopre"/>
          <w:i/>
        </w:rPr>
        <w:t xml:space="preserve">про оцінку впливу на навколишнє середовище у транскордонному контексті </w:t>
      </w:r>
      <w:r w:rsidRPr="00543284">
        <w:rPr>
          <w:rStyle w:val="acopre"/>
        </w:rPr>
        <w:t>(</w:t>
      </w:r>
      <w:proofErr w:type="spellStart"/>
      <w:r w:rsidRPr="00543284">
        <w:rPr>
          <w:rStyle w:val="acopre"/>
        </w:rPr>
        <w:t>Official</w:t>
      </w:r>
      <w:proofErr w:type="spellEnd"/>
      <w:r w:rsidRPr="00543284">
        <w:rPr>
          <w:rStyle w:val="acopre"/>
        </w:rPr>
        <w:t xml:space="preserve"> </w:t>
      </w:r>
      <w:proofErr w:type="spellStart"/>
      <w:r w:rsidRPr="00543284">
        <w:rPr>
          <w:rStyle w:val="acopre"/>
        </w:rPr>
        <w:t>Journal</w:t>
      </w:r>
      <w:proofErr w:type="spellEnd"/>
      <w:r w:rsidRPr="00543284">
        <w:rPr>
          <w:rStyle w:val="acopre"/>
        </w:rPr>
        <w:t xml:space="preserve"> L 308, 19.11.2008, p. 33–34);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i/>
          <w:color w:val="000000" w:themeColor="text1"/>
        </w:rPr>
        <w:t xml:space="preserve">Директивою 2011/92/ЄС </w:t>
      </w:r>
      <w:r w:rsidRPr="00543284">
        <w:rPr>
          <w:rStyle w:val="ae"/>
        </w:rPr>
        <w:t>Європейського Парламенту та Ради від 13 грудня 2011 року про оцінку впливу окремих державних і приватних проєктів на навколишнє середовище</w:t>
      </w:r>
      <w:r w:rsidRPr="00543284">
        <w:rPr>
          <w:rStyle w:val="st"/>
        </w:rPr>
        <w:t xml:space="preserve"> (</w:t>
      </w:r>
      <w:proofErr w:type="spellStart"/>
      <w:r w:rsidRPr="00543284">
        <w:t>Official</w:t>
      </w:r>
      <w:proofErr w:type="spellEnd"/>
      <w:r w:rsidRPr="00543284">
        <w:t xml:space="preserve"> </w:t>
      </w:r>
      <w:proofErr w:type="spellStart"/>
      <w:r w:rsidRPr="00543284">
        <w:t>Journal</w:t>
      </w:r>
      <w:proofErr w:type="spellEnd"/>
      <w:r w:rsidRPr="00543284">
        <w:t xml:space="preserve"> L 26, 28.01.2012, p. 1–21) (далі – Директива 2011/92/ЄС);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rStyle w:val="ae"/>
        </w:rPr>
        <w:t xml:space="preserve">Директивою 2001/42/ЄС Європейського Парламенту та Ради від 27 червня 2001 р. про оцінку впливу окремих планів та програм на навколишнє середовище </w:t>
      </w:r>
      <w:r w:rsidRPr="00543284">
        <w:rPr>
          <w:rStyle w:val="st"/>
        </w:rPr>
        <w:t>(</w:t>
      </w:r>
      <w:proofErr w:type="spellStart"/>
      <w:r w:rsidRPr="00543284">
        <w:t>Official</w:t>
      </w:r>
      <w:proofErr w:type="spellEnd"/>
      <w:r w:rsidRPr="00543284">
        <w:t xml:space="preserve"> </w:t>
      </w:r>
      <w:proofErr w:type="spellStart"/>
      <w:r w:rsidRPr="00543284">
        <w:t>Journal</w:t>
      </w:r>
      <w:proofErr w:type="spellEnd"/>
      <w:r w:rsidRPr="00543284">
        <w:rPr>
          <w:color w:val="FF0000"/>
        </w:rPr>
        <w:t xml:space="preserve"> </w:t>
      </w:r>
      <w:r w:rsidRPr="00543284">
        <w:rPr>
          <w:iCs/>
        </w:rPr>
        <w:t>L 197, 21.07.2001, p. 30–37</w:t>
      </w:r>
      <w:r w:rsidRPr="00543284">
        <w:t>) (далі – Директива 2001/42/ЄС);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543284">
        <w:rPr>
          <w:rStyle w:val="acopre"/>
          <w:i/>
        </w:rPr>
        <w:t xml:space="preserve">Об’єднаною конвенцією про безпеку поводження з відпрацьованим паливом та про безпеку поводження з радіоактивними відходами від 5 вересня 1997 </w:t>
      </w:r>
      <w:r w:rsidRPr="00543284">
        <w:rPr>
          <w:rStyle w:val="acopre"/>
          <w:i/>
          <w:color w:val="000000" w:themeColor="text1"/>
        </w:rPr>
        <w:t>року</w:t>
      </w:r>
      <w:r w:rsidRPr="00543284">
        <w:rPr>
          <w:rStyle w:val="ab"/>
          <w:i/>
          <w:color w:val="000000" w:themeColor="text1"/>
        </w:rPr>
        <w:footnoteReference w:id="4"/>
      </w:r>
      <w:r w:rsidRPr="00543284">
        <w:rPr>
          <w:rStyle w:val="acopre"/>
          <w:i/>
          <w:color w:val="000000" w:themeColor="text1"/>
        </w:rPr>
        <w:t xml:space="preserve"> </w:t>
      </w:r>
      <w:r w:rsidRPr="00543284">
        <w:rPr>
          <w:rStyle w:val="acopre"/>
          <w:color w:val="000000" w:themeColor="text1"/>
        </w:rPr>
        <w:t>(далі – Об’єднана конвенція)</w:t>
      </w:r>
      <w:r w:rsidRPr="00543284">
        <w:rPr>
          <w:color w:val="000000" w:themeColor="text1"/>
        </w:rPr>
        <w:t>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copre"/>
        </w:rPr>
      </w:pPr>
      <w:r w:rsidRPr="00543284">
        <w:rPr>
          <w:i/>
        </w:rPr>
        <w:t xml:space="preserve">Рішенням Комісії 2005/510/Євратом від 14 червня 2005 щодо приєднання року </w:t>
      </w:r>
      <w:r w:rsidRPr="00543284">
        <w:rPr>
          <w:rStyle w:val="acopre"/>
          <w:i/>
        </w:rPr>
        <w:t>Європейського співтовариства з атомної енергії (</w:t>
      </w:r>
      <w:r w:rsidRPr="00543284">
        <w:rPr>
          <w:rStyle w:val="ae"/>
        </w:rPr>
        <w:t>Євратом</w:t>
      </w:r>
      <w:r w:rsidRPr="00543284">
        <w:rPr>
          <w:rStyle w:val="acopre"/>
        </w:rPr>
        <w:t xml:space="preserve">) </w:t>
      </w:r>
      <w:r w:rsidRPr="00543284">
        <w:rPr>
          <w:i/>
        </w:rPr>
        <w:t>до “</w:t>
      </w:r>
      <w:r w:rsidRPr="00543284">
        <w:rPr>
          <w:rStyle w:val="acopre"/>
          <w:i/>
        </w:rPr>
        <w:t>Об’єднаної конвенції про безпеку поводження з відпрацьованим паливом та про безпеку поводження з радіоактивними відходами”</w:t>
      </w:r>
      <w:r w:rsidRPr="00543284">
        <w:rPr>
          <w:i/>
        </w:rPr>
        <w:t xml:space="preserve"> </w:t>
      </w:r>
      <w:r w:rsidRPr="00543284">
        <w:rPr>
          <w:rStyle w:val="st"/>
        </w:rPr>
        <w:t>(</w:t>
      </w:r>
      <w:proofErr w:type="spellStart"/>
      <w:r w:rsidRPr="00543284">
        <w:t>Official</w:t>
      </w:r>
      <w:proofErr w:type="spellEnd"/>
      <w:r w:rsidRPr="00543284">
        <w:t xml:space="preserve"> </w:t>
      </w:r>
      <w:proofErr w:type="spellStart"/>
      <w:r w:rsidRPr="00543284">
        <w:t>Journal</w:t>
      </w:r>
      <w:proofErr w:type="spellEnd"/>
      <w:r w:rsidRPr="00543284">
        <w:t xml:space="preserve"> L 185, 16.07.2005, p. 33–34) (далі – Рішення Комісії 2005/510/Євратом);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i/>
          <w:color w:val="000000" w:themeColor="text1"/>
        </w:rPr>
        <w:t xml:space="preserve">Директивою Ради 2011/70/Євратом </w:t>
      </w:r>
      <w:r w:rsidRPr="00543284">
        <w:rPr>
          <w:rStyle w:val="ae"/>
        </w:rPr>
        <w:t>від 19 липня 2011 року про встановлення рамок Співтовариства для відповідального та безпечного поводження з відпрацьованим паливом та радіоактивними відходами</w:t>
      </w:r>
      <w:r w:rsidRPr="00543284">
        <w:rPr>
          <w:rStyle w:val="st"/>
        </w:rPr>
        <w:t xml:space="preserve"> (</w:t>
      </w:r>
      <w:proofErr w:type="spellStart"/>
      <w:r w:rsidRPr="00543284">
        <w:t>Official</w:t>
      </w:r>
      <w:proofErr w:type="spellEnd"/>
      <w:r w:rsidRPr="00543284">
        <w:t xml:space="preserve"> </w:t>
      </w:r>
      <w:proofErr w:type="spellStart"/>
      <w:r w:rsidRPr="00543284">
        <w:t>Journal</w:t>
      </w:r>
      <w:proofErr w:type="spellEnd"/>
      <w:r w:rsidRPr="00543284">
        <w:t xml:space="preserve"> L 199, 02.08.2011, p. 48–56) (далі – Директива 2011/70/Євратом);</w:t>
      </w:r>
    </w:p>
    <w:p w:rsidR="00543284" w:rsidRPr="00543284" w:rsidRDefault="00543284" w:rsidP="00543284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43284">
        <w:rPr>
          <w:i/>
        </w:rPr>
        <w:t>Конвенцією про доступ до інформації, участь громадськості в процесі прийняття рішень та доступ до правосуддя з питань, що стосуються довкілля від 26 червня 1998 року</w:t>
      </w:r>
      <w:r w:rsidRPr="00543284">
        <w:rPr>
          <w:rStyle w:val="ab"/>
          <w:i/>
        </w:rPr>
        <w:footnoteReference w:id="5"/>
      </w:r>
      <w:r w:rsidRPr="00543284">
        <w:rPr>
          <w:i/>
        </w:rPr>
        <w:t xml:space="preserve"> </w:t>
      </w:r>
      <w:r w:rsidRPr="00543284">
        <w:t xml:space="preserve">(далі – </w:t>
      </w:r>
      <w:proofErr w:type="spellStart"/>
      <w:r w:rsidRPr="00543284">
        <w:t>Орхуська</w:t>
      </w:r>
      <w:proofErr w:type="spellEnd"/>
      <w:r w:rsidRPr="00543284">
        <w:t xml:space="preserve"> конвенція).</w:t>
      </w:r>
    </w:p>
    <w:p w:rsidR="00543284" w:rsidRPr="00543284" w:rsidRDefault="00543284" w:rsidP="00543284">
      <w:pPr>
        <w:pStyle w:val="af"/>
        <w:tabs>
          <w:tab w:val="left" w:pos="851"/>
        </w:tabs>
        <w:ind w:left="567"/>
        <w:jc w:val="both"/>
        <w:rPr>
          <w:rStyle w:val="acopre"/>
        </w:rPr>
      </w:pPr>
    </w:p>
    <w:p w:rsidR="00BA6EC0" w:rsidRDefault="00BA6EC0" w:rsidP="00543284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bCs/>
          <w:sz w:val="28"/>
          <w:szCs w:val="28"/>
          <w:lang w:val="uk-UA"/>
        </w:rPr>
      </w:pPr>
    </w:p>
    <w:p w:rsidR="00BA6EC0" w:rsidRDefault="00BA6EC0" w:rsidP="00543284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bCs/>
          <w:sz w:val="28"/>
          <w:szCs w:val="28"/>
          <w:lang w:val="uk-UA"/>
        </w:rPr>
      </w:pPr>
    </w:p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r w:rsidRPr="00543284">
        <w:rPr>
          <w:rFonts w:ascii="Times New Roman" w:eastAsia="Verdana" w:hAnsi="Times New Roman"/>
          <w:b/>
          <w:bCs/>
          <w:sz w:val="28"/>
          <w:szCs w:val="28"/>
          <w:lang w:val="uk-UA"/>
        </w:rPr>
        <w:lastRenderedPageBreak/>
        <w:t>3.  </w:t>
      </w:r>
      <w:r w:rsidRPr="00543284">
        <w:rPr>
          <w:rFonts w:ascii="Times New Roman" w:hAnsi="Times New Roman"/>
          <w:b/>
          <w:sz w:val="28"/>
          <w:szCs w:val="28"/>
          <w:lang w:val="uk-UA"/>
        </w:rPr>
        <w:t>Відповідність законопроєкту міжнародно-правовим зобов’язанням України у сфері європейської інтеграції та праву ЄС.</w:t>
      </w:r>
    </w:p>
    <w:p w:rsidR="00543284" w:rsidRPr="00543284" w:rsidRDefault="00543284" w:rsidP="00543284">
      <w:pPr>
        <w:pStyle w:val="1"/>
        <w:tabs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432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 результатами правового аналізу проєкту Закону щодо його відповідності aсquis ЄС та Угоді про асоціацію слід зазначити таке.</w:t>
      </w:r>
    </w:p>
    <w:p w:rsidR="00543284" w:rsidRPr="00543284" w:rsidRDefault="00543284" w:rsidP="00543284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432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4328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 342 Угоди про асоціацію</w:t>
      </w:r>
      <w:r w:rsidRPr="005432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співробітництво в цивільному ядерному секторі спрямовується на вирішення проблем, що виникли внаслідок Чорнобильської катастрофи, а також зняття з експлуатації Чорнобильської АЕС, зокрема: а) план здійснення заходів на об’єкті «Укриття» (SIP) для перетворення наявного зруйнованого 4-го блоку (Об’єкт «Укриття») в екологічно безпечну систему; b) поводження з відпрацьованим ядерним паливом; c) дезактивація територій; d) поводження з радіоактивними відходами;</w:t>
      </w:r>
      <w:r w:rsidRPr="005432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br/>
        <w:t>e) моніторинг навколишнього середовища.</w:t>
      </w:r>
    </w:p>
    <w:p w:rsidR="00543284" w:rsidRPr="00543284" w:rsidRDefault="00543284" w:rsidP="0054328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43284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Pr="00543284">
        <w:rPr>
          <w:i/>
          <w:color w:val="000000" w:themeColor="text1"/>
          <w:sz w:val="28"/>
          <w:szCs w:val="28"/>
          <w:lang w:val="uk-UA"/>
        </w:rPr>
        <w:t>статті 361 Угоди про асоціацію</w:t>
      </w:r>
      <w:r w:rsidRPr="00543284">
        <w:rPr>
          <w:color w:val="000000" w:themeColor="text1"/>
          <w:sz w:val="28"/>
          <w:szCs w:val="28"/>
          <w:lang w:val="uk-UA"/>
        </w:rPr>
        <w:t xml:space="preserve"> співробітництво з питань охорони навколишнього середовища має на меті збереження, захист, поліпшення і відтворення якості навколишнього середовища, захист громадського здоров’я,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серед іншого, у такій сфері як </w:t>
      </w:r>
      <w:bookmarkStart w:id="2" w:name="n2282"/>
      <w:bookmarkStart w:id="3" w:name="n2283"/>
      <w:bookmarkStart w:id="4" w:name="n2284"/>
      <w:bookmarkStart w:id="5" w:name="n2285"/>
      <w:bookmarkStart w:id="6" w:name="n2286"/>
      <w:bookmarkStart w:id="7" w:name="n2287"/>
      <w:bookmarkStart w:id="8" w:name="n2288"/>
      <w:bookmarkEnd w:id="2"/>
      <w:bookmarkEnd w:id="3"/>
      <w:bookmarkEnd w:id="4"/>
      <w:bookmarkEnd w:id="5"/>
      <w:bookmarkEnd w:id="6"/>
      <w:bookmarkEnd w:id="7"/>
      <w:bookmarkEnd w:id="8"/>
      <w:r w:rsidRPr="00543284">
        <w:rPr>
          <w:color w:val="000000" w:themeColor="text1"/>
          <w:sz w:val="28"/>
          <w:szCs w:val="28"/>
          <w:lang w:val="uk-UA"/>
        </w:rPr>
        <w:t>управління відходами та ресурсами.</w:t>
      </w:r>
    </w:p>
    <w:p w:rsidR="00543284" w:rsidRPr="00543284" w:rsidRDefault="00543284" w:rsidP="0054328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43284">
        <w:rPr>
          <w:color w:val="000000" w:themeColor="text1"/>
          <w:sz w:val="28"/>
          <w:szCs w:val="28"/>
          <w:lang w:val="uk-UA"/>
        </w:rPr>
        <w:t xml:space="preserve">У </w:t>
      </w:r>
      <w:r w:rsidRPr="00543284">
        <w:rPr>
          <w:i/>
          <w:color w:val="000000" w:themeColor="text1"/>
          <w:sz w:val="28"/>
          <w:szCs w:val="28"/>
          <w:lang w:val="uk-UA"/>
        </w:rPr>
        <w:t>статті 363 Угоди про асоціацію</w:t>
      </w:r>
      <w:r w:rsidRPr="00543284">
        <w:rPr>
          <w:color w:val="000000" w:themeColor="text1"/>
          <w:sz w:val="28"/>
          <w:szCs w:val="28"/>
          <w:lang w:val="uk-UA"/>
        </w:rPr>
        <w:t xml:space="preserve"> зазначено, що поступове наближення законодавства України до права та політики ЄЄ у сфері охорони навколишнього природного середовища здійснюється відповідно до Додатка XXX до цієї Угоди, згідно із яким Україна зобов’язалась імплементувати положення Директиви 2001/42/ЄС та</w:t>
      </w:r>
      <w:r w:rsidRPr="00543284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543284">
        <w:rPr>
          <w:color w:val="000000" w:themeColor="text1"/>
          <w:sz w:val="28"/>
          <w:szCs w:val="28"/>
          <w:lang w:val="uk-UA"/>
        </w:rPr>
        <w:t>Директиви 2011/92/ЄС. Положення зазначених директив були впроваджені з прийняттям законів України «Про стратегічну екологічну оцінку» від 20.03.2018 р. № 2354-VIII та «Про оцінку впливу на довкілля» від 23.05.2017 р. № 2059-VIII.</w:t>
      </w:r>
    </w:p>
    <w:p w:rsidR="00543284" w:rsidRPr="00543284" w:rsidRDefault="00543284" w:rsidP="00543284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284">
        <w:rPr>
          <w:rFonts w:ascii="Times New Roman" w:hAnsi="Times New Roman"/>
          <w:sz w:val="28"/>
          <w:szCs w:val="28"/>
          <w:lang w:val="uk-UA"/>
        </w:rPr>
        <w:t>Також слід звернути увагу, що відповідно до</w:t>
      </w:r>
      <w:r w:rsidRPr="005432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4328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19 Об’єднаної конвенції</w:t>
      </w:r>
      <w:r w:rsidRPr="005432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кожна Сторона, що  домовляється, створює та підтримує законодавчу та регулюючу основу для забезпечення  безпеки поводження з відпрацьованим паливом та радіоактивними відходами. Ця законодавча та регулююча основа передбачає наявність, зокрема, </w:t>
      </w:r>
      <w:bookmarkStart w:id="9" w:name="o152"/>
      <w:bookmarkEnd w:id="9"/>
      <w:r w:rsidRPr="005432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національних вимог відносно безпеки та регулюючих положень з радіаційної безпеки, </w:t>
      </w:r>
      <w:bookmarkStart w:id="10" w:name="o153"/>
      <w:bookmarkStart w:id="11" w:name="o154"/>
      <w:bookmarkStart w:id="12" w:name="o155"/>
      <w:bookmarkEnd w:id="10"/>
      <w:bookmarkEnd w:id="11"/>
      <w:bookmarkEnd w:id="12"/>
      <w:r w:rsidRPr="005432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системи відповідного відомчого та регулюючого контролю, а також документації та звітності. </w:t>
      </w:r>
    </w:p>
    <w:p w:rsidR="00543284" w:rsidRPr="00543284" w:rsidRDefault="00543284" w:rsidP="0054328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543284">
        <w:rPr>
          <w:sz w:val="28"/>
          <w:szCs w:val="28"/>
          <w:lang w:val="uk-UA"/>
        </w:rPr>
        <w:t xml:space="preserve">Враховуючи все вищевикладене, а також те, що законопроєктом </w:t>
      </w:r>
      <w:bookmarkStart w:id="13" w:name="n69"/>
      <w:bookmarkStart w:id="14" w:name="n70"/>
      <w:bookmarkEnd w:id="13"/>
      <w:bookmarkEnd w:id="14"/>
      <w:r w:rsidRPr="00543284">
        <w:rPr>
          <w:sz w:val="28"/>
          <w:szCs w:val="28"/>
          <w:lang w:val="uk-UA"/>
        </w:rPr>
        <w:t>пропонується, зокрема, схвалити зміни до Загальнодержавної програми зняття з експлуатації Чорнобильської АЕС та перетворення об’єкта «Укриття» на екологічно безпечну систему, оновити завдання і заходи щодо зняття з експлуатації Чорнобильської АЕС та перетворення об’єкта «Укриття» на екологічно безпечну систему відповідно до завершених етапів та початку виконання чергових етапів чинної Програми, слід зазначити, що він не суперечить зобов’язанням</w:t>
      </w:r>
      <w:r w:rsidRPr="00543284">
        <w:rPr>
          <w:color w:val="000000" w:themeColor="text1"/>
          <w:sz w:val="28"/>
          <w:szCs w:val="28"/>
          <w:lang w:val="uk-UA"/>
        </w:rPr>
        <w:t xml:space="preserve"> України відповідно до Угоди про асоціацію та праву ЄС.</w:t>
      </w:r>
    </w:p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bookmarkStart w:id="15" w:name="bookmark2"/>
      <w:r w:rsidRPr="00543284">
        <w:rPr>
          <w:rFonts w:ascii="Times New Roman" w:eastAsia="Verdana" w:hAnsi="Times New Roman"/>
          <w:b/>
          <w:bCs/>
          <w:sz w:val="28"/>
          <w:szCs w:val="28"/>
          <w:lang w:val="uk-UA"/>
        </w:rPr>
        <w:lastRenderedPageBreak/>
        <w:t>4.</w:t>
      </w:r>
      <w:r w:rsidRPr="00543284">
        <w:rPr>
          <w:rFonts w:ascii="Times New Roman" w:eastAsia="Verdana" w:hAnsi="Times New Roman"/>
          <w:bCs/>
          <w:sz w:val="28"/>
          <w:szCs w:val="28"/>
          <w:lang w:val="uk-UA"/>
        </w:rPr>
        <w:t>   </w:t>
      </w:r>
      <w:r w:rsidRPr="00543284"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Комітету </w:t>
      </w:r>
      <w:r w:rsidRPr="0054328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інтеграції України до Європейського Союзу. </w:t>
      </w:r>
    </w:p>
    <w:bookmarkEnd w:id="15"/>
    <w:p w:rsidR="00543284" w:rsidRPr="00543284" w:rsidRDefault="00543284" w:rsidP="005432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432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Закону </w:t>
      </w:r>
      <w:r w:rsidRPr="0054328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не суперечить</w:t>
      </w:r>
      <w:r w:rsidRPr="005432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зобов’язанням України відповідно до Угоди про асоціацію та праву ЄС.</w:t>
      </w:r>
      <w:r w:rsidRPr="0054328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A7635E" w:rsidRPr="00543284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543284" w:rsidSect="00CC2FA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107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F" w:rsidRDefault="00E425FF" w:rsidP="005E306B">
      <w:pPr>
        <w:spacing w:after="0" w:line="240" w:lineRule="auto"/>
      </w:pPr>
      <w:r>
        <w:separator/>
      </w:r>
    </w:p>
  </w:endnote>
  <w:endnote w:type="continuationSeparator" w:id="0">
    <w:p w:rsidR="00E425FF" w:rsidRDefault="00E425F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425F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F" w:rsidRDefault="00E425FF" w:rsidP="005E306B">
      <w:pPr>
        <w:spacing w:after="0" w:line="240" w:lineRule="auto"/>
      </w:pPr>
      <w:r>
        <w:separator/>
      </w:r>
    </w:p>
  </w:footnote>
  <w:footnote w:type="continuationSeparator" w:id="0">
    <w:p w:rsidR="00E425FF" w:rsidRDefault="00E425FF" w:rsidP="005E306B">
      <w:pPr>
        <w:spacing w:after="0" w:line="240" w:lineRule="auto"/>
      </w:pPr>
      <w:r>
        <w:continuationSeparator/>
      </w:r>
    </w:p>
  </w:footnote>
  <w:footnote w:id="1">
    <w:p w:rsidR="00074107" w:rsidRPr="00074107" w:rsidRDefault="00074107" w:rsidP="00074107">
      <w:pPr>
        <w:pStyle w:val="ac"/>
        <w:jc w:val="both"/>
        <w:rPr>
          <w:sz w:val="24"/>
          <w:szCs w:val="24"/>
        </w:rPr>
      </w:pPr>
      <w:r w:rsidRPr="00074107">
        <w:rPr>
          <w:rStyle w:val="ab"/>
          <w:sz w:val="24"/>
          <w:szCs w:val="24"/>
        </w:rPr>
        <w:footnoteRef/>
      </w:r>
      <w:r w:rsidRPr="00074107">
        <w:rPr>
          <w:sz w:val="24"/>
          <w:szCs w:val="24"/>
        </w:rPr>
        <w:t xml:space="preserve"> </w:t>
      </w:r>
      <w:r w:rsidRPr="00074107">
        <w:rPr>
          <w:sz w:val="24"/>
          <w:szCs w:val="24"/>
        </w:rPr>
        <w:t>К</w:t>
      </w:r>
      <w:r w:rsidRPr="00074107">
        <w:rPr>
          <w:rFonts w:eastAsia="MS Mincho"/>
          <w:sz w:val="24"/>
          <w:szCs w:val="24"/>
        </w:rPr>
        <w:t xml:space="preserve">омітет розглянув проєкт Закону на своєму засіданні </w:t>
      </w:r>
      <w:r>
        <w:rPr>
          <w:rFonts w:eastAsia="MS Mincho"/>
          <w:sz w:val="24"/>
          <w:szCs w:val="24"/>
          <w:lang w:val="ru-RU"/>
        </w:rPr>
        <w:t>21</w:t>
      </w:r>
      <w:r w:rsidRPr="00074107">
        <w:rPr>
          <w:rFonts w:eastAsia="MS Mincho"/>
          <w:sz w:val="24"/>
          <w:szCs w:val="24"/>
        </w:rPr>
        <w:t> </w:t>
      </w:r>
      <w:r>
        <w:rPr>
          <w:rFonts w:eastAsia="MS Mincho"/>
          <w:sz w:val="24"/>
          <w:szCs w:val="24"/>
        </w:rPr>
        <w:t>січня</w:t>
      </w:r>
      <w:r w:rsidRPr="00074107">
        <w:rPr>
          <w:rFonts w:eastAsia="MS Mincho"/>
          <w:sz w:val="24"/>
          <w:szCs w:val="24"/>
        </w:rPr>
        <w:t xml:space="preserve"> 202</w:t>
      </w:r>
      <w:r>
        <w:rPr>
          <w:rFonts w:eastAsia="MS Mincho"/>
          <w:sz w:val="24"/>
          <w:szCs w:val="24"/>
        </w:rPr>
        <w:t>2</w:t>
      </w:r>
      <w:r w:rsidRPr="00074107">
        <w:rPr>
          <w:rFonts w:eastAsia="MS Mincho"/>
          <w:sz w:val="24"/>
          <w:szCs w:val="24"/>
        </w:rPr>
        <w:t xml:space="preserve"> року (протокол № </w:t>
      </w:r>
      <w:r w:rsidR="00977142" w:rsidRPr="00977142">
        <w:rPr>
          <w:rFonts w:eastAsia="MS Mincho"/>
          <w:color w:val="000000" w:themeColor="text1"/>
          <w:sz w:val="24"/>
          <w:szCs w:val="24"/>
        </w:rPr>
        <w:t>94</w:t>
      </w:r>
      <w:r w:rsidRPr="00074107">
        <w:rPr>
          <w:rFonts w:eastAsia="MS Mincho"/>
          <w:sz w:val="24"/>
          <w:szCs w:val="24"/>
        </w:rPr>
        <w:t>) в</w:t>
      </w:r>
      <w:r w:rsidRPr="00074107">
        <w:rPr>
          <w:sz w:val="24"/>
          <w:szCs w:val="24"/>
        </w:rPr>
        <w:t>ідповідно до статті 93 Регламенту Верховної Ради України</w:t>
      </w:r>
      <w:r w:rsidRPr="00074107">
        <w:rPr>
          <w:rFonts w:eastAsia="MS Mincho"/>
          <w:sz w:val="24"/>
          <w:szCs w:val="24"/>
        </w:rPr>
        <w:t>.</w:t>
      </w:r>
    </w:p>
  </w:footnote>
  <w:footnote w:id="2">
    <w:p w:rsidR="00543284" w:rsidRPr="00585202" w:rsidRDefault="00543284" w:rsidP="005432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520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58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Затверджена від імені Європейського Співтовариства від 2</w:t>
      </w:r>
      <w:r w:rsidRPr="006B227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червня 1997 року.</w:t>
      </w:r>
      <w:r w:rsidRPr="0025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5202">
        <w:rPr>
          <w:rFonts w:ascii="Times New Roman" w:hAnsi="Times New Roman" w:cs="Times New Roman"/>
          <w:sz w:val="24"/>
          <w:szCs w:val="24"/>
        </w:rPr>
        <w:t xml:space="preserve">атифікована Законом України «Про ратифікацію Конвенції про оцінку впливу на навколишнє середовище у транскордонному контексті» від 19.03.1999 № 534-XIV. </w:t>
      </w:r>
    </w:p>
  </w:footnote>
  <w:footnote w:id="3">
    <w:p w:rsidR="00543284" w:rsidRPr="00D907B1" w:rsidRDefault="00543284" w:rsidP="00543284">
      <w:pPr>
        <w:pStyle w:val="ac"/>
        <w:jc w:val="both"/>
        <w:rPr>
          <w:sz w:val="24"/>
          <w:szCs w:val="24"/>
        </w:rPr>
      </w:pPr>
      <w:r w:rsidRPr="004D731F">
        <w:rPr>
          <w:rStyle w:val="ab"/>
          <w:sz w:val="24"/>
          <w:szCs w:val="24"/>
        </w:rPr>
        <w:footnoteRef/>
      </w:r>
      <w:r w:rsidRPr="004D731F">
        <w:rPr>
          <w:sz w:val="24"/>
          <w:szCs w:val="24"/>
        </w:rPr>
        <w:t xml:space="preserve"> Ратифікований Законом України «Про ратифікацію </w:t>
      </w:r>
      <w:r w:rsidRPr="004D731F">
        <w:rPr>
          <w:color w:val="000000"/>
          <w:sz w:val="24"/>
          <w:szCs w:val="24"/>
        </w:rPr>
        <w:t xml:space="preserve">Протоколу про стратегічну екологічну </w:t>
      </w:r>
      <w:r w:rsidRPr="00D907B1">
        <w:rPr>
          <w:color w:val="000000"/>
          <w:sz w:val="24"/>
          <w:szCs w:val="24"/>
        </w:rPr>
        <w:t xml:space="preserve">оцінку до Конвенції про оцінку впливу на навколишнє середовище у транскордонному </w:t>
      </w:r>
      <w:r w:rsidRPr="00D907B1">
        <w:rPr>
          <w:sz w:val="24"/>
          <w:szCs w:val="24"/>
        </w:rPr>
        <w:t>контексті» від 01.07.2015 № 562-VІІІ.</w:t>
      </w:r>
    </w:p>
  </w:footnote>
  <w:footnote w:id="4">
    <w:p w:rsidR="00543284" w:rsidRDefault="00543284" w:rsidP="0054328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 w:rsidRPr="005835B1">
        <w:rPr>
          <w:sz w:val="24"/>
          <w:szCs w:val="24"/>
        </w:rPr>
        <w:t>Ратифікована Законом України «</w:t>
      </w:r>
      <w:bookmarkStart w:id="0" w:name="o2"/>
      <w:bookmarkEnd w:id="0"/>
      <w:r w:rsidRPr="005835B1">
        <w:rPr>
          <w:sz w:val="24"/>
          <w:szCs w:val="24"/>
        </w:rPr>
        <w:t>Про ратифікацію Об’єднаної конвенції про безпеку поводження з відпрацьованим паливом та про безпеку поводження з радіоактивними відходами» від 20.04.2000 № 1688-III.</w:t>
      </w:r>
    </w:p>
  </w:footnote>
  <w:footnote w:id="5">
    <w:p w:rsidR="00543284" w:rsidRPr="002C0280" w:rsidRDefault="00543284" w:rsidP="005432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028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C0280">
        <w:rPr>
          <w:rFonts w:ascii="Times New Roman" w:hAnsi="Times New Roman" w:cs="Times New Roman"/>
          <w:sz w:val="24"/>
          <w:szCs w:val="24"/>
        </w:rPr>
        <w:t xml:space="preserve"> Ратифікована Законом України «Про ратифікацію Конвенції про доступ до інформації, участь громадськості в процесі прийняття рішень та доступ до правосуддя з питань, що стосуються довкілля» від 06.07.1999 № 832-XIV.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C2FA6" w:rsidP="00CC2FA6">
          <w:pPr>
            <w:pStyle w:val="a3"/>
            <w:tabs>
              <w:tab w:val="clear" w:pos="4677"/>
              <w:tab w:val="clear" w:pos="9355"/>
              <w:tab w:val="left" w:pos="6549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3900866</wp:posOffset>
                </wp:positionH>
                <wp:positionV relativeFrom="paragraph">
                  <wp:posOffset>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19322A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          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C2FA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            </w:t>
          </w:r>
          <w:r w:rsidR="00C86266"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до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Європейськ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ого Союзу</w:t>
          </w:r>
        </w:p>
        <w:p w:rsidR="00C27AE9" w:rsidRPr="009865D4" w:rsidRDefault="00236343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              </w:t>
          </w:r>
          <w:r w:rsidR="00CC2FA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0"/>
      <w:gridCol w:w="9639"/>
      <w:gridCol w:w="568"/>
    </w:tblGrid>
    <w:tr w:rsidR="00B55DE0" w:rsidRPr="00053776" w:rsidTr="00363436">
      <w:tc>
        <w:tcPr>
          <w:tcW w:w="1680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639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568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7C7"/>
    <w:multiLevelType w:val="hybridMultilevel"/>
    <w:tmpl w:val="133E9AF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74107"/>
    <w:rsid w:val="000F1586"/>
    <w:rsid w:val="00110664"/>
    <w:rsid w:val="00141617"/>
    <w:rsid w:val="0019108F"/>
    <w:rsid w:val="0019322A"/>
    <w:rsid w:val="001966F0"/>
    <w:rsid w:val="001D3C24"/>
    <w:rsid w:val="0021032F"/>
    <w:rsid w:val="00235CD7"/>
    <w:rsid w:val="00236343"/>
    <w:rsid w:val="002874E5"/>
    <w:rsid w:val="002A5D4C"/>
    <w:rsid w:val="002B5FC1"/>
    <w:rsid w:val="002D0561"/>
    <w:rsid w:val="002E0A18"/>
    <w:rsid w:val="002E31BF"/>
    <w:rsid w:val="002E44DA"/>
    <w:rsid w:val="00363436"/>
    <w:rsid w:val="003D0996"/>
    <w:rsid w:val="003D1CBA"/>
    <w:rsid w:val="00424B1C"/>
    <w:rsid w:val="00451750"/>
    <w:rsid w:val="004852FA"/>
    <w:rsid w:val="004C53C1"/>
    <w:rsid w:val="004E4F5C"/>
    <w:rsid w:val="004F7B8A"/>
    <w:rsid w:val="0050620F"/>
    <w:rsid w:val="0051601C"/>
    <w:rsid w:val="00543284"/>
    <w:rsid w:val="00545919"/>
    <w:rsid w:val="0055005A"/>
    <w:rsid w:val="0056039F"/>
    <w:rsid w:val="0056352F"/>
    <w:rsid w:val="005A4728"/>
    <w:rsid w:val="005B71F5"/>
    <w:rsid w:val="005C674D"/>
    <w:rsid w:val="005E306B"/>
    <w:rsid w:val="005E5F8B"/>
    <w:rsid w:val="005F20B5"/>
    <w:rsid w:val="00626A3E"/>
    <w:rsid w:val="00660B13"/>
    <w:rsid w:val="0066623D"/>
    <w:rsid w:val="006F10E8"/>
    <w:rsid w:val="00713E93"/>
    <w:rsid w:val="007204E1"/>
    <w:rsid w:val="0073224C"/>
    <w:rsid w:val="007A0252"/>
    <w:rsid w:val="007A55A4"/>
    <w:rsid w:val="007F5D91"/>
    <w:rsid w:val="0080545D"/>
    <w:rsid w:val="0084269F"/>
    <w:rsid w:val="00927104"/>
    <w:rsid w:val="00945B68"/>
    <w:rsid w:val="00957D31"/>
    <w:rsid w:val="00977142"/>
    <w:rsid w:val="009865D4"/>
    <w:rsid w:val="009A720A"/>
    <w:rsid w:val="00A00059"/>
    <w:rsid w:val="00A60747"/>
    <w:rsid w:val="00A7635E"/>
    <w:rsid w:val="00A76A60"/>
    <w:rsid w:val="00A833C8"/>
    <w:rsid w:val="00AD7F82"/>
    <w:rsid w:val="00B311E8"/>
    <w:rsid w:val="00B55DE0"/>
    <w:rsid w:val="00B6717E"/>
    <w:rsid w:val="00BA6EC0"/>
    <w:rsid w:val="00BB1827"/>
    <w:rsid w:val="00BD0801"/>
    <w:rsid w:val="00BF1E95"/>
    <w:rsid w:val="00C11FB6"/>
    <w:rsid w:val="00C25388"/>
    <w:rsid w:val="00C27AE9"/>
    <w:rsid w:val="00C86266"/>
    <w:rsid w:val="00CA7044"/>
    <w:rsid w:val="00CC2FA6"/>
    <w:rsid w:val="00CC39A1"/>
    <w:rsid w:val="00CD4A38"/>
    <w:rsid w:val="00CE3E1B"/>
    <w:rsid w:val="00CE6A4B"/>
    <w:rsid w:val="00D2186F"/>
    <w:rsid w:val="00D22048"/>
    <w:rsid w:val="00D242C2"/>
    <w:rsid w:val="00D37FA2"/>
    <w:rsid w:val="00D52549"/>
    <w:rsid w:val="00D57E1B"/>
    <w:rsid w:val="00DF0115"/>
    <w:rsid w:val="00E3142C"/>
    <w:rsid w:val="00E425FF"/>
    <w:rsid w:val="00E85C22"/>
    <w:rsid w:val="00E870BB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7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1">
    <w:name w:val="Абзац списку1"/>
    <w:basedOn w:val="a"/>
    <w:qFormat/>
    <w:rsid w:val="00543284"/>
    <w:pPr>
      <w:spacing w:after="200" w:line="276" w:lineRule="auto"/>
      <w:ind w:left="720"/>
      <w:contextualSpacing/>
    </w:pPr>
  </w:style>
  <w:style w:type="paragraph" w:customStyle="1" w:styleId="rvps2">
    <w:name w:val="rvps2"/>
    <w:basedOn w:val="a"/>
    <w:rsid w:val="00543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unhideWhenUsed/>
    <w:rsid w:val="00543284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543284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d">
    <w:name w:val="Текст виноски Знак"/>
    <w:basedOn w:val="a0"/>
    <w:link w:val="ac"/>
    <w:semiHidden/>
    <w:rsid w:val="00543284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st">
    <w:name w:val="st"/>
    <w:basedOn w:val="a0"/>
    <w:rsid w:val="00543284"/>
  </w:style>
  <w:style w:type="character" w:styleId="ae">
    <w:name w:val="Emphasis"/>
    <w:basedOn w:val="a0"/>
    <w:uiPriority w:val="20"/>
    <w:qFormat/>
    <w:locked/>
    <w:rsid w:val="00543284"/>
    <w:rPr>
      <w:i/>
      <w:iCs/>
    </w:rPr>
  </w:style>
  <w:style w:type="paragraph" w:styleId="af">
    <w:name w:val="List Paragraph"/>
    <w:basedOn w:val="a"/>
    <w:uiPriority w:val="34"/>
    <w:qFormat/>
    <w:rsid w:val="005432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4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4328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opre">
    <w:name w:val="acopre"/>
    <w:basedOn w:val="a0"/>
    <w:rsid w:val="0054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A684-844C-4403-B081-38A96E8D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2022-01-21T11:14:00Z</dcterms:created>
  <dcterms:modified xsi:type="dcterms:W3CDTF">2022-01-21T11:56:00Z</dcterms:modified>
</cp:coreProperties>
</file>