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80" w:rsidRDefault="006A1680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A1680" w:rsidRDefault="006A1680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A1680" w:rsidRDefault="006A1680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A1680" w:rsidRDefault="006A1680" w:rsidP="000D436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A1680" w:rsidRPr="006A1680" w:rsidRDefault="000D4362" w:rsidP="006A1680">
      <w:pPr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43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A1680" w:rsidRPr="006A1680" w:rsidRDefault="006A1680" w:rsidP="006A1680">
      <w:pPr>
        <w:spacing w:before="80" w:after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680" w:rsidRPr="006A1680" w:rsidRDefault="006A1680" w:rsidP="006A16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6A1680" w:rsidRPr="006A1680" w:rsidRDefault="006A1680" w:rsidP="006A1680">
      <w:pPr>
        <w:keepNext/>
        <w:shd w:val="clear" w:color="auto" w:fill="FFFFFF"/>
        <w:suppressAutoHyphens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A16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проект Закону України «Про внесення змін до Закону України </w:t>
      </w:r>
    </w:p>
    <w:p w:rsidR="006A1680" w:rsidRPr="006A1680" w:rsidRDefault="006A1680" w:rsidP="006A1680">
      <w:pPr>
        <w:keepNext/>
        <w:shd w:val="clear" w:color="auto" w:fill="FFFFFF"/>
        <w:suppressAutoHyphens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A16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«Про регулювання містобудівної діяльності» (щодо підвищення </w:t>
      </w:r>
    </w:p>
    <w:p w:rsidR="006A1680" w:rsidRPr="006A1680" w:rsidRDefault="006A1680" w:rsidP="006A1680">
      <w:pPr>
        <w:keepNext/>
        <w:shd w:val="clear" w:color="auto" w:fill="FFFFFF"/>
        <w:suppressAutoHyphens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A16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ролі громадськості у затвердженні на місцевому рівні </w:t>
      </w:r>
    </w:p>
    <w:p w:rsidR="006A1680" w:rsidRPr="006A1680" w:rsidRDefault="006A1680" w:rsidP="006A1680">
      <w:pPr>
        <w:keepNext/>
        <w:shd w:val="clear" w:color="auto" w:fill="FFFFFF"/>
        <w:suppressAutoHyphens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A16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містобудівної документації)»</w:t>
      </w:r>
    </w:p>
    <w:p w:rsidR="006A1680" w:rsidRPr="006A1680" w:rsidRDefault="006A1680" w:rsidP="006A1680">
      <w:pPr>
        <w:rPr>
          <w:rFonts w:ascii="Times New Roman" w:eastAsia="Times New Roman" w:hAnsi="Times New Roman"/>
          <w:noProof/>
          <w:sz w:val="24"/>
          <w:szCs w:val="24"/>
          <w:lang w:eastAsia="ar-SA"/>
        </w:rPr>
      </w:pP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У проекті, метою якого є «</w:t>
      </w:r>
      <w:r w:rsidRPr="006A1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забезпечення жителям конкретних територій врахування їх дійсних інтересів під час розроблення містобудівної документації на місцевому рівні»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(п. 2 пояснювальної записки до нього), пропонується  </w:t>
      </w:r>
      <w:proofErr w:type="spellStart"/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ст. 21 Закону України «Про регулювання містобудівної діяльності» (далі – Закон). У цих змінах визначається, що «результати громадських обговорень містобудівної документації на місцевому рівні є чинними протягом двох років. Після спливу дворічного строку результати громадських обговорень анулюються, а відповідна містобудівна документація на місцевому рівні, вважається такою, що не проходила громадське обговорення і потребує повторної процедури громадського обговорення, яка проводиться у відповідності до чинного законодавства». 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Прийняття проекту, на думку суб’єктів права законодавчої ініціативи, «</w:t>
      </w:r>
      <w:r w:rsidRPr="006A168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буде стимулювати планомірній та передбачуваній забудові територій на основі думки ширшого кола дійсних жителів конкретної території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» (п. 7 пояснювальної записки до проекту).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Проект не включений до  Плану законопроектної роботи Верховної Ради України на 2021 рік, затвердженого постановою Верховної Ради України від 02.02.2021 № 1165-IX.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Головне управління, проаналізувавши поданий проект, вважає за доцільне висловити щодо його змісту такі зауваження та пропозиції.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ст. 21 Закону затвердження на місцевому рівні генеральних планів населених пунктів, планів зонування територій, детальних планів територій без проведення громадського обговорення проектів такої документації забороняється. В свою чергу, відповідно до п. 17</w:t>
      </w:r>
      <w:bookmarkStart w:id="0" w:name="o10"/>
      <w:bookmarkEnd w:id="0"/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проведення 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 </w:t>
      </w:r>
      <w:r w:rsidR="00BB09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(із подальшими змінами і доповненнями) «</w:t>
      </w:r>
      <w:r w:rsidR="00853FF7" w:rsidRPr="00853FF7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затвердження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містобудівної  документації без проведення г</w:t>
      </w:r>
      <w:r w:rsidR="00853FF7" w:rsidRPr="00853FF7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ромадського обговорення проектів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такої </w:t>
      </w:r>
      <w:r w:rsidR="00853FF7" w:rsidRPr="00853FF7">
        <w:rPr>
          <w:rFonts w:ascii="Times New Roman" w:eastAsia="Times New Roman" w:hAnsi="Times New Roman"/>
          <w:sz w:val="28"/>
          <w:szCs w:val="28"/>
          <w:lang w:eastAsia="ru-RU"/>
        </w:rPr>
        <w:t xml:space="preserve">   документації забороняється.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Матеріали щодо розгляду пропозицій громадськості є невід’ємною складовою зазначеної документації». 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чином, проведення громадського обговорення визначається як необхідна умова прийняття містобудівної документації, а строк чинності результатів такого громадського обговорення кореспондується з</w:t>
      </w:r>
      <w:r w:rsidR="00853FF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строком дії відповідного виду містобудівної документації, що, зокрема, забезпечує їх виконання. Проте у проекті проп</w:t>
      </w:r>
      <w:r w:rsidR="00853FF7">
        <w:rPr>
          <w:rFonts w:ascii="Times New Roman" w:eastAsia="Times New Roman" w:hAnsi="Times New Roman"/>
          <w:sz w:val="28"/>
          <w:szCs w:val="28"/>
          <w:lang w:eastAsia="ru-RU"/>
        </w:rPr>
        <w:t>онується розірвати цей зв’язок ш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ляхом обмеження дії результатів громадського обговореннями 2 роками. Між тим слід врахувати, що згідно зі ст. 17 Закону Генеральний план населеного пункту, який є основним видом містобудівної документації</w:t>
      </w:r>
      <w:r w:rsidRPr="006A168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місцевому рівні, призначений для обґрунтування довгострокової стратегії планування та забудови території населеного пункту (ч. 1). У зв’язку з цим строк дії генерального плану населеного пункту не обмежується (ч. 8 ст. 17 Закону), а  зміни до генерального плану населеного пункту можуть вноситися не частіше, ніж один раз на п’ять років </w:t>
      </w:r>
      <w:r w:rsidR="00F226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(ч. 9 ст. 17 Закону).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З огляду на це Головне управління вважає подану пропозицію дискусійною, оскільки у разі її прийняття чинність зазначених видів містобудівної документації на місцевому рівні виглядає сумнівною, оскільки втрачають чинність результати їх громадського обговорення, які є обов’язковою умовою їх затвердження. До того ж</w:t>
      </w:r>
      <w:r w:rsidR="00853F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втрата чинності  результатами громадського обговорення звільняє замовника відповідної містобудівної документації від необхідності їх дотримання, що фактично нівелює значення проведеного обговорення та може мати негативний вплив на забудову території населеного пункту.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матеріали щодо розгляду пропозицій громадськості є невід’ємною складовою зазначеної документації». , у зв’язку з чим вони діють той же строк, що і відповідна містобудівна документація. 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5B9BD5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Зазначимо також, що встановлення саме дворічного строку чинності «результатів громадського обговорення містобудівної документації» на місцевому рівні у пояснювальній записці до проекту не обґрунтовується. 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6A1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проекті пропонується доповнити приписами щодо строку дії результатів громадського обговорення ч. 6 ст. 21 Закону. Слід зазначити, що результати громадських обговорень оформлюються відповідними пропозиціями громадськості (ч. 5, 7, 8 ст. 21 Закону). У зв’язку з цим більш юридично коректним виглядає встановлення строку дії пропозицій громадськості як результатів громадського обговорення проектів містобудівної документації на місцевому рівні у новій ч. 8</w:t>
      </w:r>
      <w:r w:rsidRPr="006A168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, якою слід доповнити ст. 21 Закону.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вимагає техніко-юридичного та редакційного доопрацювання. Зокрема, проектом пропонується внесення змін лише до однієї статті відповідного Закону, що і слід відобразити у його назві.</w:t>
      </w:r>
    </w:p>
    <w:p w:rsidR="006A1680" w:rsidRPr="006A1680" w:rsidRDefault="006A1680" w:rsidP="006A16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У структурному відношенні проект складається з чотирьох розділів </w:t>
      </w:r>
      <w:r w:rsidR="000611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(розділ І – зміни до Закону; розділ ІІ – визначення дня набрання чинності Законом та вступу його в дію; розділ ІІІ – визначення порядку проведення громадських обговорень, які було розпочато до набрання чинності цим Законом; розділ І</w:t>
      </w:r>
      <w:r w:rsidRPr="006A168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припис щодо приведення Кабінетом Міністрів України своїх нормативно-правових актів у відповідність із цим Законом). Проте така структура проекту не узгоджується з вимогами законодавчої техніки, за якими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законопроекти про внесення змін мають складатися з двох розділів (або пунктів). Перший - внесення змін до відповідного закону, другий - термін набрання чинності </w:t>
      </w:r>
      <w:r w:rsidR="00DB3B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(введення в дію) законом, що приймається, та доручення, що зумовлені </w:t>
      </w:r>
      <w:r w:rsidR="00DB3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його прийняттям (Правила оформлення проектів законів та основні вимоги законодавчої техніки (Методичні рекомендації). Апарат Верховної Ради України. Видання четверте, виправлене і доповнене. Київ – 2014. </w:t>
      </w:r>
      <w:r w:rsidR="00DB3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 xml:space="preserve">URL: </w:t>
      </w:r>
      <w:hyperlink r:id="rId8" w:history="1">
        <w:r w:rsidRPr="006A1680">
          <w:rPr>
            <w:rFonts w:ascii="Times New Roman" w:eastAsia="Times New Roman" w:hAnsi="Times New Roman"/>
            <w:sz w:val="28"/>
            <w:szCs w:val="28"/>
            <w:lang w:eastAsia="ru-RU"/>
          </w:rPr>
          <w:t>http://static.rada.gov.ua/site/bills/info/zak_rules.pdf</w:t>
        </w:r>
      </w:hyperlink>
      <w:r w:rsidRPr="006A1680">
        <w:rPr>
          <w:rFonts w:ascii="Times New Roman" w:eastAsia="Times New Roman" w:hAnsi="Times New Roman"/>
          <w:sz w:val="28"/>
          <w:szCs w:val="28"/>
          <w:lang w:eastAsia="ru-RU"/>
        </w:rPr>
        <w:t>) .</w:t>
      </w:r>
    </w:p>
    <w:p w:rsidR="006A1680" w:rsidRDefault="006A1680" w:rsidP="006A16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FF7" w:rsidRPr="006A1680" w:rsidRDefault="00853FF7" w:rsidP="006A16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680" w:rsidRPr="006A1680" w:rsidRDefault="006A1680" w:rsidP="006A1680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 Головного управління                                                    С. Тихонюк</w:t>
      </w:r>
    </w:p>
    <w:p w:rsidR="006A1680" w:rsidRDefault="006A1680" w:rsidP="006A16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FF7" w:rsidRPr="006A1680" w:rsidRDefault="00853FF7" w:rsidP="006A16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680" w:rsidRPr="006A1680" w:rsidRDefault="006A1680" w:rsidP="006A168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A16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Вик</w:t>
      </w:r>
      <w:proofErr w:type="spellEnd"/>
      <w:r w:rsidRPr="006A16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.: С. Кузнєцова </w:t>
      </w:r>
    </w:p>
    <w:p w:rsidR="000D4362" w:rsidRPr="000D4362" w:rsidRDefault="000D4362" w:rsidP="000D436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D4362" w:rsidRPr="000D436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6C" w:rsidRDefault="005F6B6C">
      <w:r>
        <w:separator/>
      </w:r>
    </w:p>
  </w:endnote>
  <w:endnote w:type="continuationSeparator" w:id="0">
    <w:p w:rsidR="005F6B6C" w:rsidRDefault="005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6C" w:rsidRDefault="005F6B6C">
      <w:r>
        <w:separator/>
      </w:r>
    </w:p>
  </w:footnote>
  <w:footnote w:type="continuationSeparator" w:id="0">
    <w:p w:rsidR="005F6B6C" w:rsidRDefault="005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EF" w:rsidRDefault="007875B1">
    <w:pPr>
      <w:pStyle w:val="a3"/>
      <w:jc w:val="center"/>
      <w:rPr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06115B" w:rsidRPr="0006115B">
      <w:rPr>
        <w:rFonts w:ascii="Times New Roman" w:hAnsi="Times New Roman"/>
        <w:noProof/>
        <w:sz w:val="28"/>
        <w:szCs w:val="28"/>
        <w:lang w:val="ru-RU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62" w:rsidRDefault="007875B1" w:rsidP="000D4362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До реєстр. № </w:t>
    </w:r>
    <w:r w:rsidR="000D4362">
      <w:rPr>
        <w:rFonts w:ascii="Times New Roman" w:hAnsi="Times New Roman"/>
        <w:sz w:val="20"/>
      </w:rPr>
      <w:t>5604 від 03.06.2021</w:t>
    </w:r>
  </w:p>
  <w:p w:rsidR="000D4362" w:rsidRDefault="000D4362" w:rsidP="000D4362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Народні депутати України</w:t>
    </w:r>
  </w:p>
  <w:p w:rsidR="000D4362" w:rsidRDefault="000D4362" w:rsidP="000D4362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Д. </w:t>
    </w:r>
    <w:proofErr w:type="spellStart"/>
    <w:r>
      <w:rPr>
        <w:rFonts w:ascii="Times New Roman" w:hAnsi="Times New Roman"/>
        <w:sz w:val="20"/>
      </w:rPr>
      <w:t>Гурін</w:t>
    </w:r>
    <w:proofErr w:type="spellEnd"/>
    <w:r>
      <w:rPr>
        <w:rFonts w:ascii="Times New Roman" w:hAnsi="Times New Roman"/>
        <w:sz w:val="20"/>
      </w:rPr>
      <w:t xml:space="preserve"> та інші</w:t>
    </w:r>
  </w:p>
  <w:p w:rsidR="00527CEF" w:rsidRDefault="00527CEF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2A0"/>
    <w:multiLevelType w:val="hybridMultilevel"/>
    <w:tmpl w:val="4B205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786931"/>
    <w:multiLevelType w:val="hybridMultilevel"/>
    <w:tmpl w:val="A61E4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051B9A"/>
    <w:multiLevelType w:val="hybridMultilevel"/>
    <w:tmpl w:val="604A8C3E"/>
    <w:lvl w:ilvl="0" w:tplc="793EDD90">
      <w:start w:val="3"/>
      <w:numFmt w:val="bullet"/>
      <w:lvlText w:val="-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8"/>
    <w:rsid w:val="0000245F"/>
    <w:rsid w:val="0006115B"/>
    <w:rsid w:val="000C4B3B"/>
    <w:rsid w:val="000D4362"/>
    <w:rsid w:val="00132EB5"/>
    <w:rsid w:val="001676D2"/>
    <w:rsid w:val="00193977"/>
    <w:rsid w:val="001C4690"/>
    <w:rsid w:val="002213B9"/>
    <w:rsid w:val="002B2967"/>
    <w:rsid w:val="003670A8"/>
    <w:rsid w:val="00461F08"/>
    <w:rsid w:val="00480A08"/>
    <w:rsid w:val="004846C4"/>
    <w:rsid w:val="00527CEF"/>
    <w:rsid w:val="00574519"/>
    <w:rsid w:val="005F6B6C"/>
    <w:rsid w:val="00654998"/>
    <w:rsid w:val="006823F0"/>
    <w:rsid w:val="006A1680"/>
    <w:rsid w:val="00763F28"/>
    <w:rsid w:val="007875B1"/>
    <w:rsid w:val="007A3878"/>
    <w:rsid w:val="00853FF7"/>
    <w:rsid w:val="008D7591"/>
    <w:rsid w:val="00975A81"/>
    <w:rsid w:val="009C105D"/>
    <w:rsid w:val="009C3379"/>
    <w:rsid w:val="00B12DD7"/>
    <w:rsid w:val="00B327FA"/>
    <w:rsid w:val="00B66545"/>
    <w:rsid w:val="00BA01F2"/>
    <w:rsid w:val="00BB09EF"/>
    <w:rsid w:val="00BB5770"/>
    <w:rsid w:val="00BD0737"/>
    <w:rsid w:val="00D122B7"/>
    <w:rsid w:val="00DB3B07"/>
    <w:rsid w:val="00DD0D32"/>
    <w:rsid w:val="00DE408D"/>
    <w:rsid w:val="00F05632"/>
    <w:rsid w:val="00F22694"/>
    <w:rsid w:val="00F24062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F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Pr>
      <w:lang w:val="uk-UA"/>
    </w:rPr>
  </w:style>
  <w:style w:type="paragraph" w:styleId="a7">
    <w:name w:val="footnote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виноски Знак"/>
    <w:link w:val="a7"/>
    <w:uiPriority w:val="99"/>
    <w:rPr>
      <w:sz w:val="20"/>
      <w:szCs w:val="20"/>
      <w:lang w:val="uk-UA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List Paragraph"/>
    <w:basedOn w:val="a"/>
    <w:uiPriority w:val="34"/>
    <w:qFormat/>
    <w:rsid w:val="00763F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C469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C4690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rada.gov.ua/site/bills/info/zak_ru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04F0-4633-47B7-A138-323656D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2021-06-25T12:49:00Z</dcterms:created>
  <dcterms:modified xsi:type="dcterms:W3CDTF">2021-06-25T12:52:00Z</dcterms:modified>
</cp:coreProperties>
</file>