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0B950" w14:textId="77777777" w:rsidR="00C633E4" w:rsidRPr="001B2E7A" w:rsidRDefault="00C633E4" w:rsidP="0050306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bookmarkStart w:id="0" w:name="_GoBack"/>
      <w:bookmarkEnd w:id="0"/>
      <w:r w:rsidRPr="001B2E7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ПОЯСНЮВАЛЬНА ЗАПИСКА</w:t>
      </w:r>
    </w:p>
    <w:p w14:paraId="065201CA" w14:textId="083BFB43" w:rsidR="00C633E4" w:rsidRPr="001B2E7A" w:rsidRDefault="00C633E4" w:rsidP="0050306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до про</w:t>
      </w:r>
      <w:r w:rsidR="006E2B2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кту Закону України</w:t>
      </w:r>
    </w:p>
    <w:p w14:paraId="131B600D" w14:textId="77777777" w:rsidR="00C633E4" w:rsidRPr="001B2E7A" w:rsidRDefault="00C633E4" w:rsidP="0050306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«Про особливості стимулювання регіонального розвитку» </w:t>
      </w:r>
      <w:r w:rsidRPr="001B2E7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br/>
      </w:r>
    </w:p>
    <w:p w14:paraId="1C409902" w14:textId="77777777" w:rsidR="00C633E4" w:rsidRPr="001B2E7A" w:rsidRDefault="00C633E4" w:rsidP="0050306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1. Мета</w:t>
      </w:r>
    </w:p>
    <w:p w14:paraId="753AA3BC" w14:textId="54DB9701" w:rsidR="00C633E4" w:rsidRDefault="00C633E4" w:rsidP="0050306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" w:name="n3486"/>
      <w:bookmarkEnd w:id="1"/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кт Закону підготовлений з метою удосконалення механізмів стимулювання розвитку регіонів та окремих типів територій, встановлення критеріїв для територій, що потребують  особливої  уваги з боку держави та застосування спеціальних заходів стимулювання їх розвитку на основі програмно-цільового підходу до розв’язання проблем соціально-економічного розвитку.</w:t>
      </w:r>
    </w:p>
    <w:p w14:paraId="54BD8A45" w14:textId="77777777" w:rsidR="00503060" w:rsidRPr="001B2E7A" w:rsidRDefault="00503060" w:rsidP="0050306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5A86479" w14:textId="77777777" w:rsidR="00C633E4" w:rsidRPr="001B2E7A" w:rsidRDefault="00C633E4" w:rsidP="0050306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2" w:name="n3487"/>
      <w:bookmarkEnd w:id="2"/>
      <w:r w:rsidRPr="001B2E7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2. Обґрунтування необхідності прийняття акта</w:t>
      </w:r>
    </w:p>
    <w:p w14:paraId="0823557F" w14:textId="472D7D5E" w:rsidR="00C81952" w:rsidRDefault="00C633E4" w:rsidP="0050306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3" w:name="n3488"/>
      <w:bookmarkEnd w:id="3"/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кт Закону України розроблено Міністерством розвитку громад та територій України на виконання </w:t>
      </w:r>
      <w:r w:rsidR="007016E1" w:rsidRP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абзацу </w:t>
      </w:r>
      <w:r w:rsid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>п’ятого</w:t>
      </w:r>
      <w:r w:rsidR="007016E1" w:rsidRP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підпункту 2 пункту 1 Указу Президента України №713/2019 «Про невідкладні заходи щодо забезпечення економічного зростання, стимулювання розвитку регіонів та запобігання корупції», 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абзацу дванадцятого підпункту 2 пункту 1 Указу Президента України </w:t>
      </w:r>
      <w:r w:rsidRPr="001B2E7A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lang w:eastAsia="uk-UA"/>
        </w:rPr>
        <w:t>№ 837/2019 «Про невідкладні заходи з проведення реформ та зміцнення держави»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пункту </w:t>
      </w:r>
      <w:r w:rsidR="00C81952">
        <w:rPr>
          <w:rFonts w:ascii="Times New Roman" w:eastAsia="Times New Roman" w:hAnsi="Times New Roman" w:cs="Times New Roman"/>
          <w:sz w:val="26"/>
          <w:szCs w:val="26"/>
          <w:lang w:eastAsia="uk-UA"/>
        </w:rPr>
        <w:t>309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Плану пріоритетних дій Уряду на 202</w:t>
      </w:r>
      <w:r w:rsidR="00C81952">
        <w:rPr>
          <w:rFonts w:ascii="Times New Roman" w:eastAsia="Times New Roman" w:hAnsi="Times New Roman" w:cs="Times New Roman"/>
          <w:sz w:val="26"/>
          <w:szCs w:val="26"/>
          <w:lang w:eastAsia="uk-UA"/>
        </w:rPr>
        <w:t>1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рік, затвердженого розпорядженням Кабінету Міністрів України від</w:t>
      </w:r>
      <w:r w:rsidR="00C819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C81952" w:rsidRPr="00C81952">
        <w:rPr>
          <w:rFonts w:ascii="Times New Roman" w:eastAsia="Times New Roman" w:hAnsi="Times New Roman" w:cs="Times New Roman"/>
          <w:sz w:val="26"/>
          <w:szCs w:val="26"/>
          <w:lang w:eastAsia="uk-UA"/>
        </w:rPr>
        <w:t>24 березня 2021 р. № 276-р</w:t>
      </w:r>
      <w:r w:rsidR="00C81952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4E938CF4" w14:textId="77777777" w:rsidR="00C633E4" w:rsidRPr="001B2E7A" w:rsidRDefault="00C633E4" w:rsidP="0050306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Процес формування системи стимулювання регіонального розвитку є незавершеним з огляду на існування проблем у цій сфері, а саме зростання диспропорцій регіонального розвитку та невирішеність проблем депресивних територій, малих монофункціональних міст, сільських територій, гірських населених пунктів, прикордонних районів. </w:t>
      </w:r>
    </w:p>
    <w:p w14:paraId="0D933FBD" w14:textId="77777777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Законом України «Про стимулювання розвитку регіонів» визначені механізми стимулювання розвитку регіонів та подолання депресивності окремих територій – угоди щодо регіонального розвитку та програми подолання депресивності територій, які одночасно є інструментами реалізації Державної стратегії регіонального розвитку та регіональних стратегій розвитку. Однак станом на сьогодні жоден з цих механізмів не працює. </w:t>
      </w:r>
    </w:p>
    <w:p w14:paraId="6500F9FE" w14:textId="77777777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Політика стимулювання регіонального розвитку та підтримки та окремих типів територій, що потребують особливої уваги з боку держави потребує удосконалення у зв’язку з:</w:t>
      </w:r>
    </w:p>
    <w:p w14:paraId="71837849" w14:textId="77777777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несистемністю заходів державної регіональної політики щодо подолання депресивності територій та застарілістю критеріїв вибору таких територій.</w:t>
      </w:r>
      <w:r w:rsidRPr="001B2E7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B2E7A">
        <w:rPr>
          <w:rFonts w:ascii="Times New Roman" w:eastAsia="Calibri" w:hAnsi="Times New Roman" w:cs="Times New Roman"/>
          <w:sz w:val="26"/>
          <w:szCs w:val="26"/>
        </w:rPr>
        <w:t>За роки реалізації Закону України «Про стимулювання розвитку регіонів» лише одна територія – м. Токмак Запорізької області – отримала статус депресивної території. До цього часу не затверджено жодної програми подолання депресивності територій;</w:t>
      </w:r>
    </w:p>
    <w:p w14:paraId="5BAA81C1" w14:textId="77777777" w:rsidR="00C633E4" w:rsidRPr="001B2E7A" w:rsidRDefault="00C633E4" w:rsidP="0050306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недієвістю або низькою ефективністю існуючих інструментів стимулювання розвитку регіонів. Запропоновані чинним Законом інструменти стимулювання регіонального розвитку по факту були замінені</w:t>
      </w:r>
      <w:r w:rsidRPr="001B2E7A">
        <w:rPr>
          <w:rFonts w:ascii="Times New Roman" w:eastAsia="Calibri" w:hAnsi="Times New Roman" w:cs="Times New Roman"/>
          <w:sz w:val="26"/>
          <w:szCs w:val="26"/>
        </w:rPr>
        <w:t xml:space="preserve"> традиційними підходами – будівництво, ремонт об’єктів бюджетної сфери, причому без прив’язки до Державної стратегії регіонального розвитку раїни Укта регіональних стратегій розвитку;</w:t>
      </w:r>
    </w:p>
    <w:p w14:paraId="37409F0F" w14:textId="77777777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відсутністю реального механізму узгодження державних та регіональних стратегічних пріоритетів на довгостроковий період;</w:t>
      </w:r>
    </w:p>
    <w:p w14:paraId="4522C30A" w14:textId="77777777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обмеженістю </w:t>
      </w:r>
      <w:r w:rsidRPr="001B2E7A">
        <w:rPr>
          <w:rFonts w:ascii="Times New Roman" w:eastAsia="Calibri" w:hAnsi="Times New Roman" w:cs="Times New Roman"/>
          <w:sz w:val="26"/>
          <w:szCs w:val="26"/>
        </w:rPr>
        <w:t xml:space="preserve">ресурсів державного бюджету, що спрямовуються на розвиток </w:t>
      </w:r>
      <w:r w:rsidRPr="001B2E7A">
        <w:rPr>
          <w:rFonts w:ascii="Times New Roman" w:eastAsia="Calibri" w:hAnsi="Times New Roman" w:cs="Times New Roman"/>
          <w:sz w:val="26"/>
          <w:szCs w:val="26"/>
        </w:rPr>
        <w:lastRenderedPageBreak/>
        <w:t>територій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, які потребують особливої уваги з боку держави</w:t>
      </w:r>
      <w:r w:rsidRPr="001B2E7A">
        <w:rPr>
          <w:rFonts w:ascii="Times New Roman" w:eastAsia="Calibri" w:hAnsi="Times New Roman" w:cs="Times New Roman"/>
          <w:sz w:val="26"/>
          <w:szCs w:val="26"/>
        </w:rPr>
        <w:t xml:space="preserve">, та необхідністю підвищення ефективності їх використання. </w:t>
      </w:r>
    </w:p>
    <w:p w14:paraId="61A12023" w14:textId="77777777" w:rsidR="00C633E4" w:rsidRPr="001B2E7A" w:rsidRDefault="00C633E4" w:rsidP="0050306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2E7A">
        <w:rPr>
          <w:rFonts w:ascii="Times New Roman" w:eastAsia="Calibri" w:hAnsi="Times New Roman" w:cs="Times New Roman"/>
          <w:sz w:val="26"/>
          <w:szCs w:val="26"/>
        </w:rPr>
        <w:t xml:space="preserve">Очевидною є необхідність модернізації Закону України «Про стимулювання розвитку регіонів» з урахуванням кращого досвіду ЄС, розроблення конкретних інструментів, що сприятимуть розвитку малого та середнього підприємництва на таких територіях, інноваційних галузей, зростання доходів громадян, а також  використання в цілях стимулювання регіонального розвитку територіально орієнтованого підходу, відповідно до Рекомендацій ОЕСР щодо ефективного державного інвестування на всіх рівнях врядування, які були ухвалені Радою ОЕСР 12 березня 2014 року, і до яких у 2018 році приєдналася Україна. </w:t>
      </w:r>
    </w:p>
    <w:p w14:paraId="7D5ABFD2" w14:textId="77777777" w:rsidR="00C633E4" w:rsidRPr="001B2E7A" w:rsidRDefault="00C633E4" w:rsidP="00503060">
      <w:pPr>
        <w:spacing w:before="4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2E7A">
        <w:rPr>
          <w:rFonts w:ascii="Times New Roman" w:eastAsia="Calibri" w:hAnsi="Times New Roman" w:cs="Times New Roman"/>
          <w:sz w:val="26"/>
          <w:szCs w:val="26"/>
        </w:rPr>
        <w:t>Наявність нових викликів, які постали перед Україною впродовж останніх семи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років і які суттєво впливають на ситуацію в регіонах, а відтак і на якість життя мешканців міст і сіл,</w:t>
      </w:r>
      <w:r w:rsidRPr="001B2E7A">
        <w:rPr>
          <w:rFonts w:ascii="Times New Roman" w:eastAsia="Calibri" w:hAnsi="Times New Roman" w:cs="Times New Roman"/>
          <w:sz w:val="26"/>
          <w:szCs w:val="26"/>
        </w:rPr>
        <w:t xml:space="preserve"> вимагає впровадження нових підходів до політики регіонального розвитку, а саме переходу до територіально спрямованої політики розвитку на основі стимулювання використання власного потенціалу територій, надання підтримки окремим територіям, що характеризуються особливими проблемами соціально-економічного розвитку. </w:t>
      </w:r>
    </w:p>
    <w:p w14:paraId="1D7DC4B7" w14:textId="77777777" w:rsidR="00C633E4" w:rsidRPr="001B2E7A" w:rsidRDefault="00C633E4" w:rsidP="0050306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CF069D5" w14:textId="2F2ACB70" w:rsidR="00C633E4" w:rsidRPr="001B2E7A" w:rsidRDefault="00C633E4" w:rsidP="0050306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" w:name="n3490"/>
      <w:bookmarkEnd w:id="4"/>
      <w:r w:rsidRPr="001B2E7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3. Основні положення про</w:t>
      </w:r>
      <w:r w:rsidR="006E2B2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кту акта</w:t>
      </w:r>
    </w:p>
    <w:p w14:paraId="2E1909EA" w14:textId="6BEE5D50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n3491"/>
      <w:bookmarkEnd w:id="5"/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ктом Закону передбачено зміну правових, організаційних,  фінансових та інших підходів  до </w:t>
      </w:r>
      <w:r w:rsidRPr="001B2E7A">
        <w:rPr>
          <w:rFonts w:ascii="Times New Roman" w:eastAsia="Calibri" w:hAnsi="Times New Roman" w:cs="Times New Roman"/>
          <w:sz w:val="26"/>
          <w:szCs w:val="26"/>
        </w:rPr>
        <w:t>системи  стимулювання розвитку регіонів та окремих типів територій шляхом:</w:t>
      </w:r>
    </w:p>
    <w:p w14:paraId="119E2177" w14:textId="77777777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Calibri" w:hAnsi="Times New Roman" w:cs="Times New Roman"/>
          <w:sz w:val="26"/>
          <w:szCs w:val="26"/>
        </w:rPr>
        <w:t>впровадження нової термінології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для визначення типів територій, які потребують  особливої  уваги з боку держави та застосування спеціальних механізмів та інструментів стимулювання їх розвитку (з урахуванням певних особливостей економічного розвитку, географічного розташування, стану</w:t>
      </w:r>
      <w:r w:rsid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навколишнього природного середовища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, демографічної ситуації);</w:t>
      </w:r>
    </w:p>
    <w:p w14:paraId="7A768255" w14:textId="77777777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запровадження стимулювання регіонального розвитку на державному та регіональному рівнях;</w:t>
      </w:r>
    </w:p>
    <w:p w14:paraId="2F72E83F" w14:textId="77777777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розширення переліку інструментів стимулювання розвитку територій з обмеженими можливостями для розвитку;</w:t>
      </w:r>
    </w:p>
    <w:p w14:paraId="66448BFB" w14:textId="77777777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удосконалення механізму узгодження державних та регіональних стратегічних пріоритетів; спрощення процедури підготовки та реалізації угод щодо регіонального розвитку;</w:t>
      </w:r>
    </w:p>
    <w:p w14:paraId="6EBB06E1" w14:textId="43AB9A7C" w:rsidR="00C633E4" w:rsidRPr="001B2E7A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впровадження нової форми організації міжрегіонального співробітництва (договорів щодо міжрегіонального співробітництва) для реалізації спільних міжрегіональних 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ктів у сферах економічного розвитку, поводження з твердими побутовими відходами, транспорту</w:t>
      </w:r>
      <w:r w:rsid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загального корис</w:t>
      </w:r>
      <w:r w:rsidR="005B5447">
        <w:rPr>
          <w:rFonts w:ascii="Times New Roman" w:eastAsia="Times New Roman" w:hAnsi="Times New Roman" w:cs="Times New Roman"/>
          <w:sz w:val="26"/>
          <w:szCs w:val="26"/>
          <w:lang w:eastAsia="uk-UA"/>
        </w:rPr>
        <w:t>т</w:t>
      </w:r>
      <w:r w:rsid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>ування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що забезпечує жителів суміжних регіонів, збереження історичної спадщини та довкілля; </w:t>
      </w:r>
    </w:p>
    <w:p w14:paraId="1803D8C2" w14:textId="77777777" w:rsidR="00C633E4" w:rsidRDefault="00C633E4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забезпечення цільової фінансової підтримки реалізації заходів щодо стимулювання регіонального розвитку на основі програмно-цільового підходу до розв’язання проблем соціально-економічного розвитку, створення сприятливого інвестиційного середовища в регіонах та створення умов для надання державної допомоги суб’єктам господарювання, які здійснюють свою діяльність на територіях з обмеженими можливостями для розвитку.</w:t>
      </w:r>
    </w:p>
    <w:p w14:paraId="05101737" w14:textId="066E6F28" w:rsidR="007016E1" w:rsidRDefault="007016E1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5AB0F32" w14:textId="1E72DDD0" w:rsidR="00503060" w:rsidRDefault="00503060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7B43693" w14:textId="77777777" w:rsidR="00503060" w:rsidRPr="001B2E7A" w:rsidRDefault="00503060" w:rsidP="005030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5574783" w14:textId="77777777" w:rsidR="00C633E4" w:rsidRPr="001B2E7A" w:rsidRDefault="00C633E4" w:rsidP="0050306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6" w:name="n3492"/>
      <w:bookmarkEnd w:id="6"/>
      <w:r w:rsidRPr="001B2E7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lastRenderedPageBreak/>
        <w:t>4. Правові аспекти</w:t>
      </w:r>
    </w:p>
    <w:p w14:paraId="105F3EB7" w14:textId="77777777" w:rsidR="00C633E4" w:rsidRPr="001B2E7A" w:rsidRDefault="00C633E4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7" w:name="n3493"/>
      <w:bookmarkEnd w:id="7"/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Закон України «Про засади державної регіональної політики» (Відомості Верховної Ради (ВВР), 2015, № 13, ст.90);</w:t>
      </w:r>
    </w:p>
    <w:p w14:paraId="30F5A8F4" w14:textId="77777777" w:rsidR="00C633E4" w:rsidRPr="001B2E7A" w:rsidRDefault="00C633E4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Закон України «Про стимулювання розвитку регіонів» (Відомості Верховної Ради України (ВВР), 2005, № 51, ст.548);</w:t>
      </w:r>
    </w:p>
    <w:p w14:paraId="5B5F7480" w14:textId="77777777" w:rsidR="00C633E4" w:rsidRPr="001B2E7A" w:rsidRDefault="00C633E4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Постанова Кабінету Міністрів України від 11 листопада 2015 р. № 931 «Про затвердження Порядку розроблення Державної стратегії регіонального розвитку України і плану заходів з її реалізації, а також проведення моніторингу та оцінки результативності реалізації зазначених Стратегії і плану заходів»;</w:t>
      </w:r>
    </w:p>
    <w:p w14:paraId="780546DC" w14:textId="77777777" w:rsidR="00C633E4" w:rsidRPr="001B2E7A" w:rsidRDefault="00C633E4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Постанова Кабінету Міністрів України від 11 листопада 2015 р.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заходів»;</w:t>
      </w:r>
    </w:p>
    <w:p w14:paraId="7D7C697E" w14:textId="77777777" w:rsidR="00C633E4" w:rsidRPr="001B2E7A" w:rsidRDefault="00C633E4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Постанова Кабінету Міністрів України від 21 жовтня 2015 р. № 856 «Про затвердження Порядку та Методики проведення моніторингу та оцінки результативності реалізації державної регіональної політики»;</w:t>
      </w:r>
    </w:p>
    <w:p w14:paraId="28E8057B" w14:textId="77777777" w:rsidR="00C633E4" w:rsidRDefault="00C633E4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Постанова Кабінету Міністрів України від 20 грудня 2017 р. № 1029 «Деякі питання удосконалення системи моніторингу та оцінки результативності реалізації державної регіональної політики»;</w:t>
      </w:r>
    </w:p>
    <w:p w14:paraId="6826F927" w14:textId="77777777" w:rsidR="007016E1" w:rsidRPr="001B2E7A" w:rsidRDefault="007016E1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>Указ Президента України №713/2019 «Про невідкладні заходи щодо забезпечення економічного зростання, стимулювання розвитку регіонів та запобігання корупції»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14:paraId="3A313339" w14:textId="77777777" w:rsidR="00C633E4" w:rsidRPr="001B2E7A" w:rsidRDefault="00C633E4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Указ Президента України «</w:t>
      </w:r>
      <w:r w:rsidRPr="001B2E7A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lang w:eastAsia="uk-UA"/>
        </w:rPr>
        <w:t>№ 837/2019 «Про невідкладні заходи з проведення реформ та зміцнення держави»;</w:t>
      </w:r>
    </w:p>
    <w:p w14:paraId="0C86D452" w14:textId="77777777" w:rsidR="00C633E4" w:rsidRPr="001B2E7A" w:rsidRDefault="00C633E4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Постанова Кабінету Міністрів України від 5 серпня 2020 р. № 695 «Про затвердження Державної стратегії регіонального розвитку на 2021-2027 роки»;</w:t>
      </w:r>
    </w:p>
    <w:p w14:paraId="2B8C13A0" w14:textId="77777777" w:rsidR="007016E1" w:rsidRDefault="00C633E4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Розпорядження Кабінету Міністрів України</w:t>
      </w:r>
      <w:r w:rsid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7016E1" w:rsidRP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 24 березня 2021 р. № 276-р 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«Про затвердження плану пріоритетних дій Уряду на 202</w:t>
      </w:r>
      <w:r w:rsid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>1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рік»;</w:t>
      </w:r>
    </w:p>
    <w:p w14:paraId="37D99FB1" w14:textId="77777777" w:rsidR="007016E1" w:rsidRPr="007016E1" w:rsidRDefault="007016E1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Постанова Кабінету Міністрів України </w:t>
      </w:r>
      <w:r w:rsidRP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03 березня 2021 р. № 179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</w:t>
      </w:r>
      <w:r w:rsidRP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 затвердження Національної економічної стратегії на період до 2030 року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»;</w:t>
      </w:r>
    </w:p>
    <w:p w14:paraId="5A7FDEC1" w14:textId="179E8038" w:rsidR="00503060" w:rsidRDefault="00C633E4" w:rsidP="005030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Постанова Кабінету Міністрів України від 30 квітня 2014 р. № 197 «Про затвердження Положення про Міністерство розвитку громад та територій України».</w:t>
      </w:r>
    </w:p>
    <w:p w14:paraId="36A99D84" w14:textId="77777777" w:rsidR="00503060" w:rsidRPr="00503060" w:rsidRDefault="00503060" w:rsidP="00503060">
      <w:p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491D09F" w14:textId="77777777" w:rsidR="00C633E4" w:rsidRPr="001B2E7A" w:rsidRDefault="00C633E4" w:rsidP="0050306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8" w:name="n3494"/>
      <w:bookmarkEnd w:id="8"/>
      <w:r w:rsidRPr="001B2E7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5. Фінансово-економічне обґрунтування</w:t>
      </w:r>
    </w:p>
    <w:p w14:paraId="68FD1909" w14:textId="5630EF18" w:rsidR="00C633E4" w:rsidRPr="001B2E7A" w:rsidRDefault="00C633E4" w:rsidP="0050306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9" w:name="n3495"/>
      <w:bookmarkEnd w:id="9"/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Реалізація 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кту Закону не потребуватиме додаткового фінансування з Державного бюджету України у 2021 році. </w:t>
      </w:r>
    </w:p>
    <w:p w14:paraId="7CD0C224" w14:textId="030B00E7" w:rsidR="00C633E4" w:rsidRDefault="00C633E4" w:rsidP="0050306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Одночасно 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ктом Закону передбачено розроблення угод щодо регіонального розвитку та державних програм розвитку проблемних територій, реалізація яких потребуватиме відповідного фінансування після прийняття відповідного рішення Уряду.</w:t>
      </w:r>
    </w:p>
    <w:p w14:paraId="12A83A73" w14:textId="77777777" w:rsidR="00503060" w:rsidRPr="001B2E7A" w:rsidRDefault="00503060" w:rsidP="0050306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FB4DCA8" w14:textId="77777777" w:rsidR="00C633E4" w:rsidRPr="001B2E7A" w:rsidRDefault="00C633E4" w:rsidP="0050306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6. Позиція заінтересованих сторін</w:t>
      </w:r>
    </w:p>
    <w:p w14:paraId="0882035C" w14:textId="05F7EA38" w:rsidR="00C633E4" w:rsidRDefault="00C633E4" w:rsidP="00503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Щодо 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кт</w:t>
      </w:r>
      <w:r w:rsid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акта </w:t>
      </w:r>
      <w:r w:rsidR="007016E1">
        <w:rPr>
          <w:rFonts w:ascii="Times New Roman" w:eastAsia="Times New Roman" w:hAnsi="Times New Roman" w:cs="Times New Roman"/>
          <w:sz w:val="26"/>
          <w:szCs w:val="26"/>
          <w:lang w:eastAsia="uk-UA"/>
        </w:rPr>
        <w:t>у період з 18 січня по 2 лютого 2021 року проводилися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електронні консультації з громадськістю на офіційному веб-сайті Мінрегіону</w:t>
      </w:r>
      <w:r w:rsidR="002E7537">
        <w:rPr>
          <w:rFonts w:ascii="Times New Roman" w:eastAsia="Times New Roman" w:hAnsi="Times New Roman" w:cs="Times New Roman"/>
          <w:sz w:val="26"/>
          <w:szCs w:val="26"/>
          <w:lang w:eastAsia="uk-UA"/>
        </w:rPr>
        <w:t>, пропозицій та зауважень не надходило.</w:t>
      </w:r>
    </w:p>
    <w:p w14:paraId="2F87B914" w14:textId="62B9472A" w:rsidR="002E7537" w:rsidRPr="002E7537" w:rsidRDefault="00503060" w:rsidP="00503060">
      <w:pPr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03060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50306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кт акта стосується питань функціонування місцевого самоврядування, прав та інтересів територіальних громад, місцевого та регіонального розвитку і надсилався до всеукраїнських асоціацій органів місцевого самоврядування та </w:t>
      </w:r>
      <w:r w:rsidRPr="00503060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підтриманий </w:t>
      </w:r>
      <w:r w:rsidRPr="002E7537">
        <w:rPr>
          <w:rFonts w:ascii="Times New Roman" w:eastAsia="Times New Roman" w:hAnsi="Times New Roman" w:cs="Times New Roman"/>
          <w:sz w:val="26"/>
          <w:szCs w:val="26"/>
          <w:lang w:eastAsia="uk-UA"/>
        </w:rPr>
        <w:t>Всеукраїнською асоціацією громад без зауважень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2E7537" w:rsidRPr="002E7537">
        <w:rPr>
          <w:rFonts w:ascii="Times New Roman" w:eastAsia="Times New Roman" w:hAnsi="Times New Roman" w:cs="Times New Roman"/>
          <w:sz w:val="26"/>
          <w:szCs w:val="26"/>
          <w:lang w:eastAsia="uk-UA"/>
        </w:rPr>
        <w:t>Асоціацією міст України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</w:t>
      </w:r>
      <w:r w:rsidR="002E7537" w:rsidRPr="002E753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E7537">
        <w:rPr>
          <w:rFonts w:ascii="Times New Roman" w:eastAsia="Times New Roman" w:hAnsi="Times New Roman" w:cs="Times New Roman"/>
          <w:sz w:val="26"/>
          <w:szCs w:val="26"/>
          <w:lang w:eastAsia="uk-UA"/>
        </w:rPr>
        <w:t>Українською асоціацією районних та обласних рад із зауваженнями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2E7537" w:rsidRPr="002E7537">
        <w:rPr>
          <w:rFonts w:ascii="Times New Roman" w:eastAsia="Times New Roman" w:hAnsi="Times New Roman" w:cs="Times New Roman"/>
          <w:sz w:val="26"/>
          <w:szCs w:val="26"/>
          <w:lang w:eastAsia="uk-UA"/>
        </w:rPr>
        <w:t>які враховано</w:t>
      </w:r>
      <w:r w:rsidR="008D33B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частково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52625F31" w14:textId="0FAE7204" w:rsidR="002E7537" w:rsidRPr="002E7537" w:rsidRDefault="002E7537" w:rsidP="00503060">
      <w:pPr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E7537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2E753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кт акта надсилався уповноваженим представникам всеукраїнських профспілок, їх об’єднань та всеукраїнських об’єднань організацій роботодавців та погоджений із зауваженнями, які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не </w:t>
      </w:r>
      <w:r w:rsidRPr="002E7537">
        <w:rPr>
          <w:rFonts w:ascii="Times New Roman" w:eastAsia="Times New Roman" w:hAnsi="Times New Roman" w:cs="Times New Roman"/>
          <w:sz w:val="26"/>
          <w:szCs w:val="26"/>
          <w:lang w:eastAsia="uk-UA"/>
        </w:rPr>
        <w:t>враховано Спільним представницьким органом репрезентативних всеукраїнських об'єднань профспілок на національному рівні.</w:t>
      </w:r>
    </w:p>
    <w:p w14:paraId="22EAC008" w14:textId="0EF32B35" w:rsidR="00C633E4" w:rsidRPr="001B2E7A" w:rsidRDefault="00C633E4" w:rsidP="00503060">
      <w:pPr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0" w:name="n3498"/>
      <w:bookmarkEnd w:id="10"/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кт акта не стосується прав осіб з інвалідністю, тому не потребує погодження з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спілками.</w:t>
      </w:r>
    </w:p>
    <w:p w14:paraId="7BA45504" w14:textId="5AD7121C" w:rsidR="00C633E4" w:rsidRDefault="00C633E4" w:rsidP="00503060">
      <w:pPr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1" w:name="n3499"/>
      <w:bookmarkEnd w:id="11"/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Проєкт акта не стосується сфери наукової та науково-технічної діяльності, тому не потребує розгляду Науковим комітетом Національної ради з питань розвитку науки і технологій.</w:t>
      </w:r>
    </w:p>
    <w:p w14:paraId="07DEAF31" w14:textId="77777777" w:rsidR="00503060" w:rsidRPr="001B2E7A" w:rsidRDefault="00503060" w:rsidP="00503060">
      <w:pPr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A5E819F" w14:textId="77777777" w:rsidR="00C633E4" w:rsidRDefault="00C633E4" w:rsidP="00503060">
      <w:pPr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7. Оцінка відповідності</w:t>
      </w:r>
    </w:p>
    <w:p w14:paraId="469FA4AD" w14:textId="77777777" w:rsidR="002E7537" w:rsidRPr="008838D8" w:rsidRDefault="002E7537" w:rsidP="00503060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</w:pPr>
      <w:r w:rsidRPr="008838D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>У проєкті акта відсутні положення, що стосуються зобов’язань України у сфері європейської інтеграції; прав та свобод, гарантованих Конвенцією про захист прав людини і основоположних свобод;</w:t>
      </w:r>
      <w:r>
        <w:t xml:space="preserve"> </w:t>
      </w:r>
      <w:r w:rsidRPr="002E753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>впливають на забезпечення рівних прав та можливостей жінок і чоловіків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>;</w:t>
      </w:r>
      <w:r w:rsidRPr="008838D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 xml:space="preserve"> містять ризики вчинення корупційних правопорушень та правопорушень, пов’язаних з корупцією; що створюють підстави для дискримінації. </w:t>
      </w:r>
    </w:p>
    <w:p w14:paraId="757D5A9C" w14:textId="5BA3637B" w:rsidR="002E7537" w:rsidRDefault="002E7537" w:rsidP="00503060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</w:pPr>
      <w:r w:rsidRPr="008838D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>Проєкт акта надсилався Національному агентству з питань запобігання корупції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 xml:space="preserve"> (реєстр. </w:t>
      </w:r>
      <w:r w:rsidRPr="002E753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>№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 xml:space="preserve"> </w:t>
      </w:r>
      <w:r w:rsidRPr="002E753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>03/11459/21 від 22.02.2021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 xml:space="preserve">) </w:t>
      </w:r>
      <w:r w:rsidRPr="008838D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>з метою визначення необхідності проведення антикорупційної експертизи. Оскільки Національне агентство з питань запобігання корупції у зазначений строк не надало свій висновок, відповідно до § 37-2 Кабінету міністрів України вважається, що зауваження до про</w:t>
      </w:r>
      <w:r w:rsidR="006E2B23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>є</w:t>
      </w:r>
      <w:r w:rsidRPr="008838D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>кту відсутні.</w:t>
      </w:r>
    </w:p>
    <w:p w14:paraId="4C3E473F" w14:textId="04F39750" w:rsidR="00C633E4" w:rsidRDefault="002E7537" w:rsidP="00503060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</w:pPr>
      <w:r w:rsidRPr="00AB13B3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  <w:t>Проєкт акта не потребує проведення громадської антикорупційної, громадської антидискримінаційної та громадської гендерно-правової експертизи наводиться у разі її проведення.</w:t>
      </w:r>
      <w:bookmarkStart w:id="12" w:name="n3501"/>
      <w:bookmarkStart w:id="13" w:name="n3502"/>
      <w:bookmarkEnd w:id="12"/>
      <w:bookmarkEnd w:id="13"/>
    </w:p>
    <w:p w14:paraId="1000877F" w14:textId="77777777" w:rsidR="00503060" w:rsidRPr="00503060" w:rsidRDefault="00503060" w:rsidP="00503060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uk-UA"/>
        </w:rPr>
      </w:pPr>
    </w:p>
    <w:p w14:paraId="0C4010B6" w14:textId="77777777" w:rsidR="00C633E4" w:rsidRPr="001B2E7A" w:rsidRDefault="00C633E4" w:rsidP="00503060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8. Прогноз результатів</w:t>
      </w:r>
    </w:p>
    <w:p w14:paraId="10CDBAE9" w14:textId="77777777" w:rsidR="00C633E4" w:rsidRPr="001B2E7A" w:rsidRDefault="00C633E4" w:rsidP="00503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4" w:name="n198"/>
      <w:bookmarkStart w:id="15" w:name="n202"/>
      <w:bookmarkEnd w:id="14"/>
      <w:bookmarkEnd w:id="15"/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Реалізація Закону матиме вплив на розвиток регіонів.</w:t>
      </w:r>
    </w:p>
    <w:p w14:paraId="3F88373D" w14:textId="3C957715" w:rsidR="00C633E4" w:rsidRPr="001B2E7A" w:rsidRDefault="00C633E4" w:rsidP="00503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Оскільки 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ктом Закону передбачено комплексне удосконалення механізмів реалізації державної регіональної політики, імплементація положень про</w:t>
      </w:r>
      <w:r w:rsidR="006E2B23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кту Закону потребуватиме ефективної взаємодії усіх суб’єктів державної регіональної політики.</w:t>
      </w:r>
    </w:p>
    <w:p w14:paraId="67BBFAA5" w14:textId="77777777" w:rsidR="00C633E4" w:rsidRPr="001B2E7A" w:rsidRDefault="00C633E4" w:rsidP="00503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Реалізація акта не матиме прямого впливу на:</w:t>
      </w:r>
    </w:p>
    <w:p w14:paraId="318B83D4" w14:textId="77777777" w:rsidR="00C633E4" w:rsidRPr="001B2E7A" w:rsidRDefault="00C633E4" w:rsidP="00503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ринкове середовище, забезпечення прав та інтересів суб’єктів господарювання, громадян і держави (аналіз регуляторного впливу);</w:t>
      </w:r>
    </w:p>
    <w:p w14:paraId="504D2778" w14:textId="77777777" w:rsidR="00C633E4" w:rsidRPr="001B2E7A" w:rsidRDefault="00C633E4" w:rsidP="00503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ринок праці (збереження існуючих і створення нових робочих місць, підвищення рівня зайнятості населення тощо);</w:t>
      </w:r>
    </w:p>
    <w:p w14:paraId="3AEFFD10" w14:textId="77777777" w:rsidR="00C633E4" w:rsidRPr="001B2E7A" w:rsidRDefault="00C633E4" w:rsidP="00503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громадське здоров’я (покращення чи погіршення стану здоров’я населення або його окремих груп, створення передумов для зміцнення та збереження здоров’я населення тощо);</w:t>
      </w:r>
    </w:p>
    <w:p w14:paraId="23CC19D1" w14:textId="77777777" w:rsidR="00C633E4" w:rsidRPr="001B2E7A" w:rsidRDefault="00C633E4" w:rsidP="00503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екологію та навколишнє природне середовище (збільшення чи зменшення обсягу використання відповідних природних ресурсів, рівня забруднення атмосферного повітря, води, земель, у тому числі утвореними відходами, </w:t>
      </w: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підвищення чи зниження рівня небезпеки техногенного та природного характеру тощо);</w:t>
      </w:r>
    </w:p>
    <w:p w14:paraId="7846DCA4" w14:textId="6A1DC9EB" w:rsidR="00C633E4" w:rsidRPr="001B2E7A" w:rsidRDefault="00C633E4" w:rsidP="00503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2E7A">
        <w:rPr>
          <w:rFonts w:ascii="Times New Roman" w:eastAsia="Times New Roman" w:hAnsi="Times New Roman" w:cs="Times New Roman"/>
          <w:sz w:val="26"/>
          <w:szCs w:val="26"/>
          <w:lang w:eastAsia="uk-UA"/>
        </w:rPr>
        <w:t>інші сфери суспільних відносин.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71"/>
        <w:gridCol w:w="5500"/>
      </w:tblGrid>
      <w:tr w:rsidR="00C633E4" w:rsidRPr="001B2E7A" w14:paraId="690DE5E7" w14:textId="77777777" w:rsidTr="00503060">
        <w:trPr>
          <w:trHeight w:val="29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518B76B7" w14:textId="77777777" w:rsidR="00C633E4" w:rsidRPr="001B2E7A" w:rsidRDefault="00C633E4" w:rsidP="00BB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6E561D20" w14:textId="77777777" w:rsidR="00C633E4" w:rsidRPr="001B2E7A" w:rsidRDefault="00C633E4" w:rsidP="00BB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Вплив реалізації акта на заінтересовану сторону</w:t>
            </w:r>
          </w:p>
        </w:tc>
        <w:tc>
          <w:tcPr>
            <w:tcW w:w="5500" w:type="dxa"/>
            <w:vMerge w:val="restart"/>
            <w:shd w:val="clear" w:color="auto" w:fill="auto"/>
            <w:vAlign w:val="center"/>
          </w:tcPr>
          <w:p w14:paraId="78A83BE0" w14:textId="77777777" w:rsidR="00C633E4" w:rsidRPr="001B2E7A" w:rsidRDefault="00C633E4" w:rsidP="00BB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Пояснення очікуваного впливу</w:t>
            </w:r>
          </w:p>
        </w:tc>
      </w:tr>
      <w:tr w:rsidR="00C633E4" w:rsidRPr="001B2E7A" w14:paraId="0F1F245F" w14:textId="77777777" w:rsidTr="00503060">
        <w:trPr>
          <w:trHeight w:val="994"/>
        </w:trPr>
        <w:tc>
          <w:tcPr>
            <w:tcW w:w="2127" w:type="dxa"/>
            <w:vMerge/>
            <w:shd w:val="clear" w:color="auto" w:fill="auto"/>
            <w:vAlign w:val="center"/>
          </w:tcPr>
          <w:p w14:paraId="5539AD8D" w14:textId="77777777" w:rsidR="00C633E4" w:rsidRPr="001B2E7A" w:rsidRDefault="00C633E4" w:rsidP="00BB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20C3E3E0" w14:textId="77777777" w:rsidR="00C633E4" w:rsidRPr="001B2E7A" w:rsidRDefault="00C633E4" w:rsidP="00BB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00" w:type="dxa"/>
            <w:vMerge/>
            <w:shd w:val="clear" w:color="auto" w:fill="auto"/>
            <w:vAlign w:val="center"/>
          </w:tcPr>
          <w:p w14:paraId="1609C033" w14:textId="77777777" w:rsidR="00C633E4" w:rsidRPr="001B2E7A" w:rsidRDefault="00C633E4" w:rsidP="00BB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33E4" w:rsidRPr="001B2E7A" w14:paraId="59AA1E66" w14:textId="77777777" w:rsidTr="00503060">
        <w:trPr>
          <w:trHeight w:val="1794"/>
        </w:trPr>
        <w:tc>
          <w:tcPr>
            <w:tcW w:w="2127" w:type="dxa"/>
            <w:shd w:val="clear" w:color="auto" w:fill="auto"/>
          </w:tcPr>
          <w:p w14:paraId="38C2FAB2" w14:textId="77777777" w:rsidR="00C633E4" w:rsidRPr="001B2E7A" w:rsidRDefault="00C633E4" w:rsidP="00BB19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Жителі окремих типів територій, що потребують  особливої  уваги з боку держави</w:t>
            </w:r>
          </w:p>
        </w:tc>
        <w:tc>
          <w:tcPr>
            <w:tcW w:w="1871" w:type="dxa"/>
            <w:shd w:val="clear" w:color="auto" w:fill="auto"/>
          </w:tcPr>
          <w:p w14:paraId="2B18629F" w14:textId="77777777" w:rsidR="00C633E4" w:rsidRPr="001B2E7A" w:rsidRDefault="00C633E4" w:rsidP="00BB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Позитивний</w:t>
            </w:r>
          </w:p>
        </w:tc>
        <w:tc>
          <w:tcPr>
            <w:tcW w:w="5500" w:type="dxa"/>
            <w:shd w:val="clear" w:color="auto" w:fill="auto"/>
          </w:tcPr>
          <w:p w14:paraId="618C2D13" w14:textId="7F718821" w:rsidR="00C633E4" w:rsidRPr="001B2E7A" w:rsidRDefault="00C633E4" w:rsidP="00BB19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Законопро</w:t>
            </w:r>
            <w:r w:rsidR="006E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ктом передбачено перелік заходів, що можуть здійснюватися на таких територіях, зокрема, поліпшення стану навколишнього природного середовища, цільове спрямування державних капітальних вкладень у розвиток виробничої, комунікаційної, транспортної та соціальної інфраструктури проблемних територій та ін.</w:t>
            </w:r>
          </w:p>
        </w:tc>
      </w:tr>
      <w:tr w:rsidR="00C633E4" w:rsidRPr="001B2E7A" w14:paraId="58189170" w14:textId="77777777" w:rsidTr="00503060">
        <w:trPr>
          <w:trHeight w:val="1838"/>
        </w:trPr>
        <w:tc>
          <w:tcPr>
            <w:tcW w:w="2127" w:type="dxa"/>
            <w:shd w:val="clear" w:color="auto" w:fill="auto"/>
          </w:tcPr>
          <w:p w14:paraId="6E5D097E" w14:textId="77777777" w:rsidR="00C633E4" w:rsidRPr="001B2E7A" w:rsidRDefault="00C633E4" w:rsidP="00BB19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Інвестори та підприємці, що здійснюють свою діяльність в межах окремих типів територій, що потребують  особливої  уваги з боку держави</w:t>
            </w:r>
          </w:p>
        </w:tc>
        <w:tc>
          <w:tcPr>
            <w:tcW w:w="1871" w:type="dxa"/>
            <w:shd w:val="clear" w:color="auto" w:fill="auto"/>
          </w:tcPr>
          <w:p w14:paraId="024209D5" w14:textId="77777777" w:rsidR="00C633E4" w:rsidRPr="001B2E7A" w:rsidRDefault="00C633E4" w:rsidP="00BB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Позитивний</w:t>
            </w:r>
          </w:p>
        </w:tc>
        <w:tc>
          <w:tcPr>
            <w:tcW w:w="5500" w:type="dxa"/>
            <w:shd w:val="clear" w:color="auto" w:fill="auto"/>
          </w:tcPr>
          <w:p w14:paraId="3A7FE8F3" w14:textId="77777777" w:rsidR="00C633E4" w:rsidRPr="001B2E7A" w:rsidRDefault="00C633E4" w:rsidP="00BB19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Одним із заходів державного стимулювання розвитку таких територій є державна підтримка розвитку малого та середнього підприємництва, сприяння формуванню об’єктів інфраструктури розвитку підприємництва, застосування особливостей оподаткування для окремих категорій підприємств.</w:t>
            </w:r>
          </w:p>
        </w:tc>
      </w:tr>
      <w:tr w:rsidR="00C633E4" w:rsidRPr="001B2E7A" w14:paraId="1A9EAEA4" w14:textId="77777777" w:rsidTr="00503060">
        <w:trPr>
          <w:trHeight w:val="1313"/>
        </w:trPr>
        <w:tc>
          <w:tcPr>
            <w:tcW w:w="2127" w:type="dxa"/>
            <w:shd w:val="clear" w:color="auto" w:fill="auto"/>
          </w:tcPr>
          <w:p w14:paraId="41905A64" w14:textId="77777777" w:rsidR="00C633E4" w:rsidRPr="001B2E7A" w:rsidRDefault="00C633E4" w:rsidP="00BB19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Безробітні, що проживають в межах окремих типів територій, що потребують  особливої  уваги з боку держави</w:t>
            </w:r>
          </w:p>
        </w:tc>
        <w:tc>
          <w:tcPr>
            <w:tcW w:w="1871" w:type="dxa"/>
            <w:shd w:val="clear" w:color="auto" w:fill="auto"/>
          </w:tcPr>
          <w:p w14:paraId="59E88CF6" w14:textId="77777777" w:rsidR="00C633E4" w:rsidRPr="001B2E7A" w:rsidRDefault="00C633E4" w:rsidP="00BB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Позитивний</w:t>
            </w:r>
          </w:p>
        </w:tc>
        <w:tc>
          <w:tcPr>
            <w:tcW w:w="5500" w:type="dxa"/>
            <w:shd w:val="clear" w:color="auto" w:fill="auto"/>
          </w:tcPr>
          <w:p w14:paraId="4974A304" w14:textId="77777777" w:rsidR="00C633E4" w:rsidRPr="001B2E7A" w:rsidRDefault="00C633E4" w:rsidP="00BB19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 заходів державного стимулювання розвитку таких територій є сприяння зайнятості населення, забезпечення цільового фінансування програм перекваліфікації та професійного розвитку трудових ресурсів, стимулювання трудової міграції у такі території, удосконалення соціальної сфери; серед заходів регіонального стимулювання розвитку таких територій - підвищення кваліфікації, перекваліфікація та сприяння професійному розвитку трудових ресурсів.</w:t>
            </w:r>
          </w:p>
        </w:tc>
      </w:tr>
      <w:tr w:rsidR="00C633E4" w:rsidRPr="001B2E7A" w14:paraId="3873D916" w14:textId="77777777" w:rsidTr="00503060">
        <w:trPr>
          <w:trHeight w:val="1313"/>
        </w:trPr>
        <w:tc>
          <w:tcPr>
            <w:tcW w:w="2127" w:type="dxa"/>
            <w:shd w:val="clear" w:color="auto" w:fill="auto"/>
          </w:tcPr>
          <w:p w14:paraId="549E896B" w14:textId="77777777" w:rsidR="00C633E4" w:rsidRPr="001B2E7A" w:rsidRDefault="00C633E4" w:rsidP="00BB19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Місцева</w:t>
            </w:r>
          </w:p>
          <w:p w14:paraId="610A9E6B" w14:textId="77777777" w:rsidR="00C633E4" w:rsidRPr="001B2E7A" w:rsidRDefault="00C633E4" w:rsidP="00BB19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регіональна влада</w:t>
            </w:r>
          </w:p>
        </w:tc>
        <w:tc>
          <w:tcPr>
            <w:tcW w:w="1871" w:type="dxa"/>
            <w:shd w:val="clear" w:color="auto" w:fill="auto"/>
          </w:tcPr>
          <w:p w14:paraId="6F6C52D3" w14:textId="77777777" w:rsidR="00C633E4" w:rsidRPr="001B2E7A" w:rsidRDefault="00C633E4" w:rsidP="00BB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Негативний у короткостроковій перспективі, але позитивний у довгостроковій</w:t>
            </w:r>
          </w:p>
        </w:tc>
        <w:tc>
          <w:tcPr>
            <w:tcW w:w="5500" w:type="dxa"/>
            <w:shd w:val="clear" w:color="auto" w:fill="auto"/>
          </w:tcPr>
          <w:p w14:paraId="29B24E55" w14:textId="77777777" w:rsidR="00C633E4" w:rsidRPr="001B2E7A" w:rsidRDefault="00C633E4" w:rsidP="00BB19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Існують ризики репутаційних втрат для місцевої влади у разі надання території статусу  «території з обмеженими можливостями для розвитку», проте у довгостроковій перспективі зазначене створює додаткові можливості для залучення ресурсів із різних джерел (у тому числі із Державного бюджету) для покращення умов життя населення та розвитку зазначених територій.</w:t>
            </w:r>
          </w:p>
        </w:tc>
      </w:tr>
    </w:tbl>
    <w:p w14:paraId="4F5C0266" w14:textId="77777777" w:rsidR="00C633E4" w:rsidRPr="001B2E7A" w:rsidRDefault="00C633E4" w:rsidP="00C63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1B4DEF4F" w14:textId="77777777" w:rsidR="00503060" w:rsidRDefault="00620483" w:rsidP="00620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6" w:name="_Hlk61711661"/>
      <w:r w:rsidRPr="006204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Міністр</w:t>
      </w:r>
      <w:r w:rsidR="005030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6204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розвитку громад</w:t>
      </w:r>
    </w:p>
    <w:p w14:paraId="43CF0234" w14:textId="77777777" w:rsidR="00503060" w:rsidRDefault="00620483" w:rsidP="00620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204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  територій України</w:t>
      </w:r>
      <w:r w:rsidRPr="006204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6204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 xml:space="preserve">      </w:t>
      </w:r>
      <w:r w:rsidR="005030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</w:t>
      </w:r>
      <w:r w:rsidRPr="006204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</w:t>
      </w:r>
      <w:r w:rsidR="005030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Олексій ЧЕРНИШОВ</w:t>
      </w:r>
    </w:p>
    <w:p w14:paraId="5CEE8611" w14:textId="15178ED3" w:rsidR="00C633E4" w:rsidRPr="00503060" w:rsidRDefault="00C633E4" w:rsidP="00620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B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459A2E3D" w14:textId="77777777" w:rsidR="00C633E4" w:rsidRPr="001B2E7A" w:rsidRDefault="00C633E4" w:rsidP="00C6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2E7A">
        <w:rPr>
          <w:rFonts w:ascii="Times New Roman" w:eastAsia="Times New Roman" w:hAnsi="Times New Roman" w:cs="Times New Roman"/>
          <w:sz w:val="24"/>
          <w:szCs w:val="24"/>
          <w:lang w:eastAsia="uk-UA"/>
        </w:rPr>
        <w:t>«_____»  ____________2021 р.</w:t>
      </w:r>
      <w:bookmarkEnd w:id="16"/>
    </w:p>
    <w:p w14:paraId="46ECC1DC" w14:textId="77777777" w:rsidR="00C633E4" w:rsidRPr="001B2E7A" w:rsidRDefault="00C633E4" w:rsidP="00C633E4">
      <w:pPr>
        <w:spacing w:before="120" w:after="0" w:line="240" w:lineRule="auto"/>
        <w:rPr>
          <w:rFonts w:ascii="Times New Roman" w:eastAsia="Times New Roman" w:hAnsi="Times New Roman" w:cs="Times New Roman"/>
          <w:caps/>
          <w:color w:val="44546A" w:themeColor="text2"/>
          <w:sz w:val="20"/>
          <w:szCs w:val="20"/>
          <w:lang w:eastAsia="ru-RU"/>
        </w:rPr>
      </w:pPr>
    </w:p>
    <w:p w14:paraId="03D5FDC0" w14:textId="77777777" w:rsidR="009B573C" w:rsidRDefault="009B573C"/>
    <w:sectPr w:rsidR="009B573C" w:rsidSect="004457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0F243" w14:textId="77777777" w:rsidR="00171E23" w:rsidRDefault="00171E23" w:rsidP="004457FE">
      <w:pPr>
        <w:spacing w:after="0" w:line="240" w:lineRule="auto"/>
      </w:pPr>
      <w:r>
        <w:separator/>
      </w:r>
    </w:p>
  </w:endnote>
  <w:endnote w:type="continuationSeparator" w:id="0">
    <w:p w14:paraId="291E5044" w14:textId="77777777" w:rsidR="00171E23" w:rsidRDefault="00171E23" w:rsidP="0044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5FA4" w14:textId="77777777" w:rsidR="00171E23" w:rsidRDefault="00171E23" w:rsidP="004457FE">
      <w:pPr>
        <w:spacing w:after="0" w:line="240" w:lineRule="auto"/>
      </w:pPr>
      <w:r>
        <w:separator/>
      </w:r>
    </w:p>
  </w:footnote>
  <w:footnote w:type="continuationSeparator" w:id="0">
    <w:p w14:paraId="5CED4286" w14:textId="77777777" w:rsidR="00171E23" w:rsidRDefault="00171E23" w:rsidP="0044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244579"/>
      <w:docPartObj>
        <w:docPartGallery w:val="Page Numbers (Top of Page)"/>
        <w:docPartUnique/>
      </w:docPartObj>
    </w:sdtPr>
    <w:sdtEndPr/>
    <w:sdtContent>
      <w:p w14:paraId="56B0710C" w14:textId="18262DB3" w:rsidR="004457FE" w:rsidRDefault="004457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304">
          <w:rPr>
            <w:noProof/>
          </w:rPr>
          <w:t>4</w:t>
        </w:r>
        <w:r>
          <w:fldChar w:fldCharType="end"/>
        </w:r>
      </w:p>
    </w:sdtContent>
  </w:sdt>
  <w:p w14:paraId="49EDBAEB" w14:textId="77777777" w:rsidR="004457FE" w:rsidRDefault="004457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2C57"/>
    <w:multiLevelType w:val="hybridMultilevel"/>
    <w:tmpl w:val="5746B0F4"/>
    <w:lvl w:ilvl="0" w:tplc="8D463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4"/>
    <w:rsid w:val="00171E23"/>
    <w:rsid w:val="001A5BDD"/>
    <w:rsid w:val="002E7537"/>
    <w:rsid w:val="004457FE"/>
    <w:rsid w:val="00503060"/>
    <w:rsid w:val="005B5447"/>
    <w:rsid w:val="00620483"/>
    <w:rsid w:val="006E2B23"/>
    <w:rsid w:val="007016E1"/>
    <w:rsid w:val="00844792"/>
    <w:rsid w:val="008A5304"/>
    <w:rsid w:val="008D33BC"/>
    <w:rsid w:val="009B573C"/>
    <w:rsid w:val="009E775D"/>
    <w:rsid w:val="00C633E4"/>
    <w:rsid w:val="00C81952"/>
    <w:rsid w:val="00F66AC4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EE5A"/>
  <w15:chartTrackingRefBased/>
  <w15:docId w15:val="{404D0C5F-0076-4409-97AE-C74D7CB7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E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7FE"/>
    <w:rPr>
      <w:lang w:val="uk-UA"/>
    </w:rPr>
  </w:style>
  <w:style w:type="paragraph" w:styleId="a5">
    <w:name w:val="footer"/>
    <w:basedOn w:val="a"/>
    <w:link w:val="a6"/>
    <w:uiPriority w:val="99"/>
    <w:unhideWhenUsed/>
    <w:rsid w:val="0044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7F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ОДІНЦОВА Алла Володимирівна</cp:lastModifiedBy>
  <cp:revision>2</cp:revision>
  <dcterms:created xsi:type="dcterms:W3CDTF">2021-06-08T12:41:00Z</dcterms:created>
  <dcterms:modified xsi:type="dcterms:W3CDTF">2021-06-08T12:41:00Z</dcterms:modified>
</cp:coreProperties>
</file>