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F6FB" w14:textId="69CE904F" w:rsidR="00E360C2" w:rsidRPr="00A72FDA" w:rsidRDefault="00E360C2" w:rsidP="00E360C2">
      <w:pPr>
        <w:jc w:val="center"/>
        <w:rPr>
          <w:rFonts w:ascii="Times New Roman" w:hAnsi="Times New Roman"/>
          <w:b/>
          <w:sz w:val="28"/>
          <w:szCs w:val="28"/>
          <w:lang w:val="uk-UA"/>
        </w:rPr>
      </w:pPr>
      <w:bookmarkStart w:id="0" w:name="_GoBack"/>
      <w:bookmarkEnd w:id="0"/>
      <w:r w:rsidRPr="00A72FDA">
        <w:rPr>
          <w:rFonts w:ascii="Times New Roman" w:hAnsi="Times New Roman"/>
          <w:b/>
          <w:sz w:val="28"/>
          <w:szCs w:val="28"/>
          <w:lang w:val="uk-UA"/>
        </w:rPr>
        <w:t>Порівняльна таблиця</w:t>
      </w:r>
      <w:r w:rsidR="00BD25AF">
        <w:rPr>
          <w:rFonts w:ascii="Times New Roman" w:hAnsi="Times New Roman"/>
          <w:b/>
          <w:sz w:val="28"/>
          <w:szCs w:val="28"/>
          <w:lang w:val="uk-UA"/>
        </w:rPr>
        <w:br/>
      </w:r>
      <w:r w:rsidR="002B65EF">
        <w:rPr>
          <w:rFonts w:ascii="Times New Roman" w:hAnsi="Times New Roman"/>
          <w:b/>
          <w:sz w:val="28"/>
          <w:szCs w:val="28"/>
          <w:lang w:val="uk-UA"/>
        </w:rPr>
        <w:t>до проекту Закону України</w:t>
      </w:r>
      <w:r w:rsidR="00F62993" w:rsidRPr="00F62993">
        <w:rPr>
          <w:rFonts w:ascii="Times New Roman" w:hAnsi="Times New Roman"/>
          <w:b/>
          <w:sz w:val="28"/>
          <w:szCs w:val="28"/>
        </w:rPr>
        <w:t xml:space="preserve"> </w:t>
      </w:r>
      <w:r w:rsidR="00F62993">
        <w:rPr>
          <w:rFonts w:ascii="Times New Roman" w:hAnsi="Times New Roman"/>
          <w:b/>
          <w:sz w:val="28"/>
          <w:szCs w:val="28"/>
          <w:lang w:val="uk-UA"/>
        </w:rPr>
        <w:t>«П</w:t>
      </w:r>
      <w:r w:rsidR="002B65EF" w:rsidRPr="002B65EF">
        <w:rPr>
          <w:rFonts w:ascii="Times New Roman" w:hAnsi="Times New Roman"/>
          <w:b/>
          <w:sz w:val="28"/>
          <w:szCs w:val="28"/>
          <w:lang w:val="uk-UA"/>
        </w:rPr>
        <w:t>ро внесення змін до Митного кодексу України щодо створення сприятливих умов для залучення масштабних інвестицій у промислове виробництво</w:t>
      </w:r>
      <w:r w:rsidR="00F62993">
        <w:rPr>
          <w:rFonts w:ascii="Times New Roman" w:hAnsi="Times New Roman"/>
          <w:b/>
          <w:sz w:val="28"/>
          <w:szCs w:val="28"/>
          <w:lang w:val="uk-UA"/>
        </w:rPr>
        <w:t>»</w:t>
      </w:r>
      <w:r w:rsidR="00CF225A">
        <w:rPr>
          <w:rFonts w:ascii="Times New Roman" w:hAnsi="Times New Roman"/>
          <w:b/>
          <w:sz w:val="28"/>
          <w:szCs w:val="28"/>
          <w:lang w:val="uk-U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596"/>
      </w:tblGrid>
      <w:tr w:rsidR="00C67CDE" w:rsidRPr="00A72FDA" w14:paraId="36532C5B" w14:textId="77777777" w:rsidTr="005B0991">
        <w:tc>
          <w:tcPr>
            <w:tcW w:w="7792" w:type="dxa"/>
            <w:shd w:val="clear" w:color="auto" w:fill="auto"/>
          </w:tcPr>
          <w:p w14:paraId="7DCDC1FD" w14:textId="77777777" w:rsidR="00C67CDE" w:rsidRPr="00A72FDA" w:rsidRDefault="00294F0D" w:rsidP="004A0F6D">
            <w:pPr>
              <w:pStyle w:val="StyleZakonu"/>
              <w:spacing w:before="60" w:line="276" w:lineRule="auto"/>
              <w:ind w:firstLine="0"/>
              <w:jc w:val="center"/>
              <w:rPr>
                <w:b/>
                <w:sz w:val="28"/>
                <w:szCs w:val="28"/>
              </w:rPr>
            </w:pPr>
            <w:r w:rsidRPr="00A72FDA">
              <w:rPr>
                <w:b/>
                <w:sz w:val="28"/>
                <w:szCs w:val="28"/>
              </w:rPr>
              <w:t>Зміст положення (норми) чинного акта законодавства</w:t>
            </w:r>
          </w:p>
        </w:tc>
        <w:tc>
          <w:tcPr>
            <w:tcW w:w="7596" w:type="dxa"/>
            <w:shd w:val="clear" w:color="auto" w:fill="auto"/>
          </w:tcPr>
          <w:p w14:paraId="5997F9B3" w14:textId="77777777" w:rsidR="00C67CDE" w:rsidRPr="00A72FDA" w:rsidRDefault="00294F0D" w:rsidP="004A0F6D">
            <w:pPr>
              <w:pStyle w:val="StyleZakonu"/>
              <w:spacing w:before="60" w:line="276" w:lineRule="auto"/>
              <w:ind w:firstLine="0"/>
              <w:jc w:val="center"/>
              <w:rPr>
                <w:b/>
                <w:sz w:val="28"/>
                <w:szCs w:val="28"/>
              </w:rPr>
            </w:pPr>
            <w:r w:rsidRPr="00A72FDA">
              <w:rPr>
                <w:b/>
                <w:sz w:val="28"/>
                <w:szCs w:val="28"/>
              </w:rPr>
              <w:t>Зміст відповідного положення (норми) проекту акта</w:t>
            </w:r>
          </w:p>
        </w:tc>
      </w:tr>
      <w:tr w:rsidR="00294F0D" w:rsidRPr="004367F8" w14:paraId="77F83152" w14:textId="77777777" w:rsidTr="00D84AF7">
        <w:tc>
          <w:tcPr>
            <w:tcW w:w="0" w:type="auto"/>
            <w:gridSpan w:val="2"/>
            <w:shd w:val="clear" w:color="auto" w:fill="auto"/>
          </w:tcPr>
          <w:p w14:paraId="2FD98137" w14:textId="77777777" w:rsidR="00294F0D" w:rsidRPr="00A72FDA" w:rsidRDefault="00294F0D" w:rsidP="00294F0D">
            <w:pPr>
              <w:pStyle w:val="StyleZakonu"/>
              <w:spacing w:before="60"/>
              <w:ind w:firstLine="486"/>
              <w:jc w:val="center"/>
              <w:rPr>
                <w:rFonts w:cs="Calibri"/>
                <w:b/>
                <w:sz w:val="28"/>
                <w:szCs w:val="28"/>
              </w:rPr>
            </w:pPr>
            <w:r w:rsidRPr="00A72FDA">
              <w:rPr>
                <w:rFonts w:cs="Calibri"/>
                <w:b/>
                <w:sz w:val="28"/>
                <w:szCs w:val="28"/>
              </w:rPr>
              <w:t>Митний кодекс України</w:t>
            </w:r>
          </w:p>
          <w:p w14:paraId="463EF2DF" w14:textId="77777777" w:rsidR="00294F0D" w:rsidRPr="00A72FDA" w:rsidRDefault="00294F0D" w:rsidP="00294F0D">
            <w:pPr>
              <w:pStyle w:val="StyleZakonu"/>
              <w:spacing w:before="60" w:line="276" w:lineRule="auto"/>
              <w:ind w:firstLine="486"/>
              <w:jc w:val="center"/>
              <w:rPr>
                <w:rFonts w:cs="Calibri"/>
                <w:b/>
                <w:sz w:val="28"/>
                <w:szCs w:val="28"/>
              </w:rPr>
            </w:pPr>
            <w:r w:rsidRPr="00A72FDA">
              <w:rPr>
                <w:rFonts w:cs="Calibri"/>
                <w:b/>
                <w:sz w:val="28"/>
                <w:szCs w:val="28"/>
              </w:rPr>
              <w:t>(Відомості Верховної Ради України (ВВР), 2012, № 44-45, № 46-47, № 48, ст.552, з наступними змінами)</w:t>
            </w:r>
          </w:p>
        </w:tc>
      </w:tr>
      <w:tr w:rsidR="00C67CDE" w:rsidRPr="00A72FDA" w14:paraId="5527AC6B" w14:textId="77777777" w:rsidTr="005B0991">
        <w:tc>
          <w:tcPr>
            <w:tcW w:w="7792" w:type="dxa"/>
            <w:shd w:val="clear" w:color="auto" w:fill="auto"/>
          </w:tcPr>
          <w:p w14:paraId="07890E9A" w14:textId="77777777" w:rsidR="00C67CDE" w:rsidRPr="00A72FDA" w:rsidRDefault="00C67CDE" w:rsidP="004A0F6D">
            <w:pPr>
              <w:pStyle w:val="StyleZakonu"/>
              <w:spacing w:before="60" w:line="276" w:lineRule="auto"/>
              <w:ind w:firstLine="540"/>
              <w:jc w:val="left"/>
              <w:rPr>
                <w:rFonts w:cs="Calibri"/>
                <w:b/>
                <w:sz w:val="28"/>
                <w:szCs w:val="28"/>
              </w:rPr>
            </w:pPr>
            <w:r w:rsidRPr="00A72FDA">
              <w:rPr>
                <w:rFonts w:cs="Calibri"/>
                <w:b/>
                <w:sz w:val="28"/>
                <w:szCs w:val="28"/>
              </w:rPr>
              <w:t xml:space="preserve">Стаття 287. </w:t>
            </w:r>
            <w:r w:rsidRPr="00A72FDA">
              <w:rPr>
                <w:rFonts w:cs="Calibri"/>
                <w:sz w:val="28"/>
                <w:szCs w:val="28"/>
              </w:rPr>
              <w:t>Особливості оподаткування митом деяких товарів</w:t>
            </w:r>
          </w:p>
        </w:tc>
        <w:tc>
          <w:tcPr>
            <w:tcW w:w="7596" w:type="dxa"/>
            <w:shd w:val="clear" w:color="auto" w:fill="auto"/>
          </w:tcPr>
          <w:p w14:paraId="3001EE82" w14:textId="77777777" w:rsidR="00C67CDE" w:rsidRPr="00A72FDA" w:rsidRDefault="00C67CDE" w:rsidP="004A0F6D">
            <w:pPr>
              <w:pStyle w:val="StyleZakonu"/>
              <w:spacing w:before="60" w:line="276" w:lineRule="auto"/>
              <w:ind w:firstLine="486"/>
              <w:jc w:val="left"/>
              <w:rPr>
                <w:rFonts w:cs="Calibri"/>
                <w:b/>
                <w:sz w:val="28"/>
                <w:szCs w:val="28"/>
              </w:rPr>
            </w:pPr>
            <w:r w:rsidRPr="00A72FDA">
              <w:rPr>
                <w:rFonts w:cs="Calibri"/>
                <w:b/>
                <w:sz w:val="28"/>
                <w:szCs w:val="28"/>
              </w:rPr>
              <w:t xml:space="preserve">Стаття 287. </w:t>
            </w:r>
            <w:r w:rsidRPr="00A72FDA">
              <w:rPr>
                <w:rFonts w:cs="Calibri"/>
                <w:sz w:val="28"/>
                <w:szCs w:val="28"/>
              </w:rPr>
              <w:t>Особливості оподаткування митом деяких товарів</w:t>
            </w:r>
          </w:p>
        </w:tc>
      </w:tr>
      <w:tr w:rsidR="00C67CDE" w:rsidRPr="00A72FDA" w14:paraId="7CB057FF" w14:textId="77777777" w:rsidTr="005B0991">
        <w:tc>
          <w:tcPr>
            <w:tcW w:w="7792" w:type="dxa"/>
            <w:shd w:val="clear" w:color="auto" w:fill="auto"/>
          </w:tcPr>
          <w:p w14:paraId="6E0E71BD" w14:textId="77777777" w:rsidR="00C67CDE" w:rsidRPr="00A72FDA" w:rsidRDefault="00C67CDE" w:rsidP="004A0F6D">
            <w:pPr>
              <w:pStyle w:val="StyleZakonu"/>
              <w:spacing w:before="60" w:line="276" w:lineRule="auto"/>
              <w:ind w:firstLine="540"/>
              <w:jc w:val="left"/>
              <w:rPr>
                <w:rFonts w:cs="Calibri"/>
                <w:b/>
                <w:sz w:val="28"/>
                <w:szCs w:val="28"/>
              </w:rPr>
            </w:pPr>
            <w:r w:rsidRPr="00A72FDA">
              <w:rPr>
                <w:rFonts w:cs="Calibri"/>
                <w:sz w:val="28"/>
                <w:szCs w:val="28"/>
              </w:rPr>
              <w:t>…</w:t>
            </w:r>
          </w:p>
        </w:tc>
        <w:tc>
          <w:tcPr>
            <w:tcW w:w="7596" w:type="dxa"/>
            <w:shd w:val="clear" w:color="auto" w:fill="auto"/>
          </w:tcPr>
          <w:p w14:paraId="3B2E5CF1" w14:textId="77777777" w:rsidR="00C67CDE" w:rsidRPr="00A72FDA" w:rsidRDefault="00C67CDE" w:rsidP="004A0F6D">
            <w:pPr>
              <w:pStyle w:val="StyleZakonu"/>
              <w:spacing w:before="60" w:line="276" w:lineRule="auto"/>
              <w:ind w:firstLine="486"/>
              <w:jc w:val="left"/>
              <w:rPr>
                <w:rFonts w:cs="Calibri"/>
                <w:b/>
                <w:sz w:val="28"/>
                <w:szCs w:val="28"/>
              </w:rPr>
            </w:pPr>
            <w:r w:rsidRPr="00A72FDA">
              <w:rPr>
                <w:rFonts w:cs="Calibri"/>
                <w:sz w:val="28"/>
                <w:szCs w:val="28"/>
              </w:rPr>
              <w:t>…</w:t>
            </w:r>
          </w:p>
        </w:tc>
      </w:tr>
      <w:tr w:rsidR="00C67CDE" w:rsidRPr="00B01150" w14:paraId="2582C697" w14:textId="77777777" w:rsidTr="005B0991">
        <w:tc>
          <w:tcPr>
            <w:tcW w:w="7792" w:type="dxa"/>
            <w:shd w:val="clear" w:color="auto" w:fill="auto"/>
          </w:tcPr>
          <w:p w14:paraId="142CD8A9" w14:textId="77777777" w:rsidR="00C67CDE" w:rsidRPr="00B01150" w:rsidRDefault="00C67CDE" w:rsidP="004A0F6D">
            <w:pPr>
              <w:pStyle w:val="StyleZakonu"/>
              <w:spacing w:before="60" w:line="276" w:lineRule="auto"/>
              <w:ind w:firstLine="540"/>
              <w:rPr>
                <w:sz w:val="28"/>
                <w:szCs w:val="28"/>
              </w:rPr>
            </w:pPr>
            <w:r w:rsidRPr="00B01150">
              <w:rPr>
                <w:sz w:val="28"/>
                <w:szCs w:val="28"/>
              </w:rPr>
              <w:t>6. При ввезенні на митну територію України від оподаткування митом звільняються:</w:t>
            </w:r>
          </w:p>
          <w:p w14:paraId="17808B29" w14:textId="77777777" w:rsidR="00826B1E" w:rsidRPr="00B01150" w:rsidRDefault="00826B1E" w:rsidP="00826B1E">
            <w:pPr>
              <w:pStyle w:val="rvps2"/>
              <w:shd w:val="clear" w:color="auto" w:fill="FFFFFF"/>
              <w:spacing w:before="0" w:beforeAutospacing="0" w:after="150" w:afterAutospacing="0"/>
              <w:ind w:firstLine="450"/>
              <w:jc w:val="both"/>
              <w:rPr>
                <w:sz w:val="28"/>
                <w:szCs w:val="28"/>
                <w:lang w:eastAsia="ru-RU"/>
              </w:rPr>
            </w:pPr>
            <w:r w:rsidRPr="00B01150">
              <w:rPr>
                <w:sz w:val="28"/>
                <w:szCs w:val="28"/>
                <w:lang w:eastAsia="ru-RU"/>
              </w:rPr>
              <w:t>устаткування, обладнання та комплектуючі до них, матеріали, що не виробляються в Україні, які не є підакцизними товарами та ввозяться ініціаторами створення - суб’єктами господарювання, керуючими компаніями індустріальних парків для облаштування індустріальних парків;</w:t>
            </w:r>
          </w:p>
          <w:p w14:paraId="39676D7A" w14:textId="77777777" w:rsidR="00826B1E" w:rsidRPr="00B01150" w:rsidRDefault="00826B1E" w:rsidP="00826B1E">
            <w:pPr>
              <w:pStyle w:val="rvps2"/>
              <w:shd w:val="clear" w:color="auto" w:fill="FFFFFF"/>
              <w:spacing w:before="0" w:beforeAutospacing="0" w:after="150" w:afterAutospacing="0"/>
              <w:ind w:firstLine="450"/>
              <w:jc w:val="both"/>
              <w:rPr>
                <w:sz w:val="28"/>
                <w:szCs w:val="28"/>
                <w:lang w:eastAsia="ru-RU"/>
              </w:rPr>
            </w:pPr>
            <w:bookmarkStart w:id="1" w:name="n4606"/>
            <w:bookmarkEnd w:id="1"/>
            <w:r w:rsidRPr="00B01150">
              <w:rPr>
                <w:sz w:val="28"/>
                <w:szCs w:val="28"/>
                <w:lang w:eastAsia="ru-RU"/>
              </w:rPr>
              <w:t>устаткування, обладнання та комплектуючі до них, що не виробляються в Україні та не є підакцизними товарами, які ввозяться учасниками індустріальних парків для здійснення господарської діяльності у межах індустріальних парків.</w:t>
            </w:r>
          </w:p>
          <w:p w14:paraId="4FDFA308" w14:textId="77777777" w:rsidR="00826B1E" w:rsidRPr="00B01150" w:rsidRDefault="00826B1E" w:rsidP="00826B1E">
            <w:pPr>
              <w:pStyle w:val="rvps2"/>
              <w:shd w:val="clear" w:color="auto" w:fill="FFFFFF"/>
              <w:spacing w:before="0" w:beforeAutospacing="0" w:after="150" w:afterAutospacing="0"/>
              <w:ind w:firstLine="450"/>
              <w:jc w:val="both"/>
              <w:rPr>
                <w:sz w:val="28"/>
                <w:szCs w:val="28"/>
                <w:lang w:eastAsia="ru-RU"/>
              </w:rPr>
            </w:pPr>
            <w:bookmarkStart w:id="2" w:name="n4607"/>
            <w:bookmarkEnd w:id="2"/>
            <w:r w:rsidRPr="00B01150">
              <w:rPr>
                <w:sz w:val="28"/>
                <w:szCs w:val="28"/>
                <w:lang w:eastAsia="ru-RU"/>
              </w:rPr>
              <w:t>Переліки такого устаткування, обладнання та комплектуючих до них, матеріалів з визначенням їх кодів згідно з </w:t>
            </w:r>
            <w:hyperlink r:id="rId9" w:anchor="n3" w:tgtFrame="_blank" w:history="1">
              <w:r w:rsidRPr="00B01150">
                <w:rPr>
                  <w:sz w:val="28"/>
                  <w:szCs w:val="28"/>
                  <w:lang w:eastAsia="ru-RU"/>
                </w:rPr>
                <w:t>УКТ ЗЕД</w:t>
              </w:r>
            </w:hyperlink>
            <w:r w:rsidRPr="00B01150">
              <w:rPr>
                <w:sz w:val="28"/>
                <w:szCs w:val="28"/>
                <w:lang w:eastAsia="ru-RU"/>
              </w:rPr>
              <w:t>, порядок та обсяги ввезення таких товарів визначаються Кабінетом Міністрів України.</w:t>
            </w:r>
          </w:p>
          <w:p w14:paraId="517E4F35" w14:textId="77777777" w:rsidR="00826B1E" w:rsidRPr="00B01150" w:rsidRDefault="00826B1E" w:rsidP="00826B1E">
            <w:pPr>
              <w:pStyle w:val="rvps2"/>
              <w:shd w:val="clear" w:color="auto" w:fill="FFFFFF"/>
              <w:spacing w:before="0" w:beforeAutospacing="0" w:after="150" w:afterAutospacing="0"/>
              <w:ind w:firstLine="450"/>
              <w:jc w:val="both"/>
              <w:rPr>
                <w:sz w:val="28"/>
                <w:szCs w:val="28"/>
                <w:lang w:eastAsia="ru-RU"/>
              </w:rPr>
            </w:pPr>
            <w:bookmarkStart w:id="3" w:name="n4899"/>
            <w:bookmarkStart w:id="4" w:name="n4608"/>
            <w:bookmarkEnd w:id="3"/>
            <w:bookmarkEnd w:id="4"/>
            <w:r w:rsidRPr="00B01150">
              <w:rPr>
                <w:sz w:val="28"/>
                <w:szCs w:val="28"/>
                <w:lang w:eastAsia="ru-RU"/>
              </w:rPr>
              <w:lastRenderedPageBreak/>
              <w:t>Вивільнені кошти використовуються відповідними суб’єктами для:</w:t>
            </w:r>
          </w:p>
          <w:p w14:paraId="75B19445" w14:textId="77777777" w:rsidR="00826B1E" w:rsidRPr="00B01150" w:rsidRDefault="00826B1E" w:rsidP="00826B1E">
            <w:pPr>
              <w:pStyle w:val="rvps2"/>
              <w:shd w:val="clear" w:color="auto" w:fill="FFFFFF"/>
              <w:spacing w:before="0" w:beforeAutospacing="0" w:after="150" w:afterAutospacing="0"/>
              <w:ind w:firstLine="450"/>
              <w:jc w:val="both"/>
              <w:rPr>
                <w:sz w:val="28"/>
                <w:szCs w:val="28"/>
                <w:lang w:eastAsia="ru-RU"/>
              </w:rPr>
            </w:pPr>
            <w:bookmarkStart w:id="5" w:name="n4609"/>
            <w:bookmarkEnd w:id="5"/>
            <w:r w:rsidRPr="00B01150">
              <w:rPr>
                <w:sz w:val="28"/>
                <w:szCs w:val="28"/>
                <w:lang w:eastAsia="ru-RU"/>
              </w:rPr>
              <w:t>1) облаштування індустріальних парків, у тому числі з використанням новітніх, енергозберігаючих технологій;</w:t>
            </w:r>
          </w:p>
          <w:p w14:paraId="38920A1C" w14:textId="77777777" w:rsidR="00826B1E" w:rsidRPr="00B01150" w:rsidRDefault="00826B1E" w:rsidP="00826B1E">
            <w:pPr>
              <w:pStyle w:val="rvps2"/>
              <w:shd w:val="clear" w:color="auto" w:fill="FFFFFF"/>
              <w:spacing w:before="0" w:beforeAutospacing="0" w:after="150" w:afterAutospacing="0"/>
              <w:ind w:firstLine="450"/>
              <w:jc w:val="both"/>
              <w:rPr>
                <w:sz w:val="28"/>
                <w:szCs w:val="28"/>
                <w:lang w:eastAsia="ru-RU"/>
              </w:rPr>
            </w:pPr>
            <w:bookmarkStart w:id="6" w:name="n4610"/>
            <w:bookmarkEnd w:id="6"/>
            <w:r w:rsidRPr="00B01150">
              <w:rPr>
                <w:sz w:val="28"/>
                <w:szCs w:val="28"/>
                <w:lang w:eastAsia="ru-RU"/>
              </w:rPr>
              <w:t>2) запровадження новітніх технологій, пов’язаних з господарською діяльністю у межах індустріальних парків;</w:t>
            </w:r>
          </w:p>
          <w:p w14:paraId="559AB581" w14:textId="77777777" w:rsidR="00826B1E" w:rsidRPr="00B01150" w:rsidRDefault="00826B1E" w:rsidP="00826B1E">
            <w:pPr>
              <w:pStyle w:val="rvps2"/>
              <w:shd w:val="clear" w:color="auto" w:fill="FFFFFF"/>
              <w:spacing w:before="0" w:beforeAutospacing="0" w:after="150" w:afterAutospacing="0"/>
              <w:ind w:firstLine="450"/>
              <w:jc w:val="both"/>
              <w:rPr>
                <w:sz w:val="28"/>
                <w:szCs w:val="28"/>
                <w:lang w:eastAsia="ru-RU"/>
              </w:rPr>
            </w:pPr>
            <w:bookmarkStart w:id="7" w:name="n4611"/>
            <w:bookmarkEnd w:id="7"/>
            <w:r w:rsidRPr="00B01150">
              <w:rPr>
                <w:sz w:val="28"/>
                <w:szCs w:val="28"/>
                <w:lang w:eastAsia="ru-RU"/>
              </w:rPr>
              <w:t>3) збільшення випуску продукції та зменшення витрат за видами господарської діяльності, передбаченими цим Законом, у межах індустріальних парків;</w:t>
            </w:r>
          </w:p>
          <w:p w14:paraId="2B31EDD5" w14:textId="77777777" w:rsidR="00826B1E" w:rsidRPr="00B01150" w:rsidRDefault="00826B1E" w:rsidP="00826B1E">
            <w:pPr>
              <w:pStyle w:val="rvps2"/>
              <w:shd w:val="clear" w:color="auto" w:fill="FFFFFF"/>
              <w:spacing w:before="0" w:beforeAutospacing="0" w:after="150" w:afterAutospacing="0"/>
              <w:ind w:firstLine="450"/>
              <w:jc w:val="both"/>
              <w:rPr>
                <w:sz w:val="28"/>
                <w:szCs w:val="28"/>
                <w:lang w:eastAsia="ru-RU"/>
              </w:rPr>
            </w:pPr>
            <w:bookmarkStart w:id="8" w:name="n4612"/>
            <w:bookmarkEnd w:id="8"/>
            <w:r w:rsidRPr="00B01150">
              <w:rPr>
                <w:sz w:val="28"/>
                <w:szCs w:val="28"/>
                <w:lang w:eastAsia="ru-RU"/>
              </w:rPr>
              <w:t>4) здійснення науково-дослідної діяльності у межах індустріальних парків;</w:t>
            </w:r>
          </w:p>
          <w:p w14:paraId="357DC14C" w14:textId="77777777" w:rsidR="00826B1E" w:rsidRPr="00B01150" w:rsidRDefault="00826B1E" w:rsidP="00826B1E">
            <w:pPr>
              <w:pStyle w:val="rvps2"/>
              <w:shd w:val="clear" w:color="auto" w:fill="FFFFFF"/>
              <w:spacing w:before="0" w:beforeAutospacing="0" w:after="150" w:afterAutospacing="0"/>
              <w:ind w:firstLine="450"/>
              <w:jc w:val="both"/>
              <w:rPr>
                <w:sz w:val="28"/>
                <w:szCs w:val="28"/>
                <w:lang w:eastAsia="ru-RU"/>
              </w:rPr>
            </w:pPr>
            <w:bookmarkStart w:id="9" w:name="n4613"/>
            <w:bookmarkEnd w:id="9"/>
            <w:r w:rsidRPr="00B01150">
              <w:rPr>
                <w:sz w:val="28"/>
                <w:szCs w:val="28"/>
                <w:lang w:eastAsia="ru-RU"/>
              </w:rPr>
              <w:t>5) повернення кредитів та оплати інших запозичень, використаних на облаштування індустріальних парків та здійснення у їх межах господарської діяльності, а також для сплати відсотків за такими кредитами та запозиченнями.</w:t>
            </w:r>
          </w:p>
          <w:p w14:paraId="346D4DF0" w14:textId="77777777" w:rsidR="00826B1E" w:rsidRPr="00B01150" w:rsidRDefault="00826B1E" w:rsidP="004A0F6D">
            <w:pPr>
              <w:pStyle w:val="StyleZakonu"/>
              <w:spacing w:before="60" w:line="276" w:lineRule="auto"/>
              <w:ind w:firstLine="540"/>
              <w:rPr>
                <w:sz w:val="28"/>
                <w:szCs w:val="28"/>
              </w:rPr>
            </w:pPr>
          </w:p>
        </w:tc>
        <w:tc>
          <w:tcPr>
            <w:tcW w:w="7596" w:type="dxa"/>
            <w:shd w:val="clear" w:color="auto" w:fill="auto"/>
          </w:tcPr>
          <w:p w14:paraId="6053B50C" w14:textId="77777777" w:rsidR="00C67CDE" w:rsidRPr="00B01150" w:rsidRDefault="00C67CDE" w:rsidP="00BD25AF">
            <w:pPr>
              <w:pStyle w:val="StyleZakonu"/>
              <w:spacing w:after="0" w:line="276" w:lineRule="auto"/>
              <w:ind w:firstLine="488"/>
              <w:rPr>
                <w:sz w:val="28"/>
                <w:szCs w:val="28"/>
              </w:rPr>
            </w:pPr>
            <w:r w:rsidRPr="00B01150">
              <w:rPr>
                <w:sz w:val="28"/>
                <w:szCs w:val="28"/>
              </w:rPr>
              <w:lastRenderedPageBreak/>
              <w:t>6. При ввезенні на митну територію України від оподаткування митом звільняються:</w:t>
            </w:r>
          </w:p>
          <w:p w14:paraId="0655646E" w14:textId="1089A1C6" w:rsidR="00826B1E" w:rsidRPr="00B01150" w:rsidRDefault="006A158A" w:rsidP="00BD25AF">
            <w:pPr>
              <w:pStyle w:val="StyleZakonu"/>
              <w:spacing w:after="0" w:line="276" w:lineRule="auto"/>
              <w:ind w:firstLine="488"/>
              <w:rPr>
                <w:b/>
                <w:sz w:val="28"/>
                <w:szCs w:val="28"/>
              </w:rPr>
            </w:pPr>
            <w:r w:rsidRPr="00B01150">
              <w:rPr>
                <w:b/>
                <w:sz w:val="28"/>
                <w:szCs w:val="28"/>
              </w:rPr>
              <w:t xml:space="preserve">нове устаткування (обладнання), що ввозяться учасниками індустріальних парків, включених до Реєстру індустріальних парків, виключно для власного використання для здійснення ними діяльності у сферах переробної промисловості (розділ 10, клас 11.07 розділу 11, розділи 13-17, 19-33, крім виробництва підакцизних товарів), або науково-дослідної діяльності (розділ 72 КВЕД 009:2010) на території (в межах) індустріального парку (без права надання в оренду, лізинг чи передачу в користування третім особам на будь-яких інших умовах), за умови, що відповідні товари виготовлені не раніше ніж за три роки до дати їх ввезення на митну територію України, не були у використанні та класифікуються за </w:t>
            </w:r>
            <w:r w:rsidRPr="00B01150">
              <w:rPr>
                <w:b/>
                <w:sz w:val="28"/>
                <w:szCs w:val="28"/>
              </w:rPr>
              <w:lastRenderedPageBreak/>
              <w:t xml:space="preserve">такими кодами згідно з УКТ ЗЕД: 8402-8405, 8406 82 00 10, 8406 82 00 90, 8411, 8412, 8413 40 00 00, 8413 50, 8413 60 20 00, 8413 60 70 00, 8413 60 80 00, 8413 70 21 00, 8413 70 29 00, 8413 70 30 00, 8413 70 35 00, 8413 81 00 00, 8413 82 00 00, 8414 10, 8414 40 90 00, 8414 80, 8416, 8417, 8418 (крім 8418 10 20 10, 8418 10 80 10, 8418 21, 8418 29 00 00, 8418 50, 8418 91 00 00, 8418 99), 8419, 8420, 8421, 8422 (крім 8422 11 00 00), 8423 (крім 8423 10 10 00, 8423 81 25 00, 8423 90), 8425 (крім 8425 41 00 00, 8425 42 00 00, 8425 49 00 00), 8426-8431, 8433 60 00 00, 8434, 8435 (тільки машини та механізми для виробництва соків або аналогічних напоїв), 8436, 8437-8442, 8443 (крім 8443 13 10 00), 8444 00, 8445-8448, 8449 00 00 00, 8451, 8452 (крім 8452 10, 8452 30 00 00, 8452 90 00 00), 8453-8466, 8470 30 00 00, 8471 50 00 00, 8472 30 00 00, 8474, 8475, 8477, 8479, 8480, 8481 (крім 8481 80), 8483, 8486, 8487, 8501, 8502, 8503 00, 8504, 8506, 8507, 8511, 8514, 8515, 8525, 8526, 8528, 8529, 8530, 8537, 8538 10 00 00, 8543, 8607 (крім 8607 11 00 00, 8607 12 00 00, 8607 19) 8608 00 00 00, 8709, 9006 30 00 00 (тільки для фотокамер, призначених для медичного та хірургічного обстеження внутрішніх органів), 9007, 9008, 9010 50 00 00, 9010 90 20 00, 9011, 9012, 9018 (крім 9018 31, 9018 32, 9018 39 00 00), 9019, 9020 00 00 00, 9022, 9023 00, 9024, 9026, 9027, 9030, 9031, 9032, </w:t>
            </w:r>
            <w:r w:rsidRPr="00B01150">
              <w:rPr>
                <w:b/>
                <w:sz w:val="28"/>
                <w:szCs w:val="28"/>
              </w:rPr>
              <w:br/>
              <w:t>9033 00.</w:t>
            </w:r>
          </w:p>
          <w:p w14:paraId="14FA85FD" w14:textId="77777777" w:rsidR="00826B1E" w:rsidRPr="00B01150" w:rsidRDefault="00826B1E" w:rsidP="00BD25AF">
            <w:pPr>
              <w:pStyle w:val="StyleZakonu"/>
              <w:spacing w:after="0" w:line="276" w:lineRule="auto"/>
              <w:ind w:firstLine="488"/>
              <w:rPr>
                <w:b/>
                <w:sz w:val="28"/>
                <w:szCs w:val="28"/>
              </w:rPr>
            </w:pPr>
            <w:bookmarkStart w:id="10" w:name="n7"/>
            <w:bookmarkEnd w:id="10"/>
            <w:r w:rsidRPr="00B01150">
              <w:rPr>
                <w:b/>
                <w:sz w:val="28"/>
                <w:szCs w:val="28"/>
              </w:rPr>
              <w:lastRenderedPageBreak/>
              <w:t>Порядок ввезення та цільового використання зазначених товарів визначається Кабінетом Міністрів України.</w:t>
            </w:r>
          </w:p>
          <w:p w14:paraId="69F2ECF6" w14:textId="41583011" w:rsidR="00826B1E" w:rsidRPr="00B01150" w:rsidRDefault="00826B1E" w:rsidP="00BD25AF">
            <w:pPr>
              <w:pStyle w:val="StyleZakonu"/>
              <w:spacing w:after="0" w:line="276" w:lineRule="auto"/>
              <w:ind w:firstLine="488"/>
              <w:rPr>
                <w:b/>
                <w:sz w:val="28"/>
                <w:szCs w:val="28"/>
              </w:rPr>
            </w:pPr>
            <w:r w:rsidRPr="00B01150">
              <w:rPr>
                <w:b/>
                <w:sz w:val="28"/>
                <w:szCs w:val="28"/>
              </w:rPr>
              <w:t>Центральний орган виконавчої влади, що реалізує державну митну політику, та центральний орган виконавчої влади, що</w:t>
            </w:r>
            <w:r w:rsidR="005A5936" w:rsidRPr="00B01150">
              <w:rPr>
                <w:b/>
                <w:sz w:val="28"/>
                <w:szCs w:val="28"/>
              </w:rPr>
              <w:t xml:space="preserve"> </w:t>
            </w:r>
            <w:r w:rsidR="00D46185" w:rsidRPr="00B01150">
              <w:rPr>
                <w:b/>
                <w:sz w:val="28"/>
                <w:szCs w:val="28"/>
              </w:rPr>
              <w:t>реалізує державну політику щодо створення і функціонування індустріальних парків на території України</w:t>
            </w:r>
            <w:r w:rsidRPr="00B01150">
              <w:rPr>
                <w:b/>
                <w:sz w:val="28"/>
                <w:szCs w:val="28"/>
              </w:rPr>
              <w:t>, здійснюють автоматичний обмін інформацією</w:t>
            </w:r>
            <w:r w:rsidR="00865BD3" w:rsidRPr="00B01150">
              <w:rPr>
                <w:b/>
                <w:sz w:val="28"/>
                <w:szCs w:val="28"/>
              </w:rPr>
              <w:t>, що міститься/має міститися в Р</w:t>
            </w:r>
            <w:r w:rsidRPr="00B01150">
              <w:rPr>
                <w:b/>
                <w:sz w:val="28"/>
                <w:szCs w:val="28"/>
              </w:rPr>
              <w:t>еєстрі</w:t>
            </w:r>
            <w:r w:rsidR="00933E7D" w:rsidRPr="00B01150">
              <w:rPr>
                <w:b/>
                <w:sz w:val="28"/>
                <w:szCs w:val="28"/>
              </w:rPr>
              <w:t xml:space="preserve"> індустріальних парків, у тому числі щодо переліку у</w:t>
            </w:r>
            <w:r w:rsidR="00865BD3" w:rsidRPr="00B01150">
              <w:rPr>
                <w:b/>
                <w:sz w:val="28"/>
                <w:szCs w:val="28"/>
              </w:rPr>
              <w:t>часників індустріальних парків,</w:t>
            </w:r>
            <w:r w:rsidRPr="00B01150">
              <w:rPr>
                <w:b/>
                <w:sz w:val="28"/>
                <w:szCs w:val="28"/>
              </w:rPr>
              <w:t xml:space="preserve"> в обсязі та порядку, визначених центральним органом виконавчої влади, що забезпечує формування та реалізує державну фінансову політику, за погодженням з центральним органом виконавчої влади, що забезпечує формування та реалізує державну інвестиційну політику.</w:t>
            </w:r>
          </w:p>
          <w:p w14:paraId="27798018" w14:textId="77777777" w:rsidR="00826B1E" w:rsidRPr="00B01150" w:rsidRDefault="00826B1E" w:rsidP="00BD25AF">
            <w:pPr>
              <w:pStyle w:val="StyleZakonu"/>
              <w:spacing w:after="0" w:line="276" w:lineRule="auto"/>
              <w:ind w:firstLine="488"/>
              <w:rPr>
                <w:b/>
                <w:sz w:val="28"/>
                <w:szCs w:val="28"/>
              </w:rPr>
            </w:pPr>
            <w:bookmarkStart w:id="11" w:name="n11"/>
            <w:bookmarkEnd w:id="11"/>
            <w:r w:rsidRPr="00B01150">
              <w:rPr>
                <w:b/>
                <w:sz w:val="28"/>
                <w:szCs w:val="28"/>
              </w:rPr>
              <w:t>Положення цього підпункту не поширюються на товари, що мають походження з країни, визнаної державою-окупантом згідно із законом та/або державою-агресором щодо України згідно із законодавством, або ввозяться з території держави-окупанта (агресора) та/або з окупованої території України, визначеної такою згідно із законом.</w:t>
            </w:r>
          </w:p>
          <w:p w14:paraId="7B33F3AE" w14:textId="77777777" w:rsidR="00826B1E" w:rsidRPr="00B01150" w:rsidRDefault="00336704" w:rsidP="00BD25AF">
            <w:pPr>
              <w:pStyle w:val="StyleZakonu"/>
              <w:spacing w:after="0" w:line="276" w:lineRule="auto"/>
              <w:ind w:firstLine="488"/>
              <w:rPr>
                <w:b/>
                <w:sz w:val="28"/>
                <w:szCs w:val="28"/>
              </w:rPr>
            </w:pPr>
            <w:bookmarkStart w:id="12" w:name="n12"/>
            <w:bookmarkEnd w:id="12"/>
            <w:r w:rsidRPr="00B01150">
              <w:rPr>
                <w:b/>
                <w:sz w:val="28"/>
                <w:szCs w:val="28"/>
              </w:rPr>
              <w:t xml:space="preserve">Відчуження устаткування (обладнання) та комплектуючих виробів до нього, ввезених на митну територію України у порядку, визначеному цим пунктом, </w:t>
            </w:r>
            <w:r w:rsidRPr="00B01150">
              <w:rPr>
                <w:b/>
                <w:sz w:val="28"/>
                <w:szCs w:val="28"/>
              </w:rPr>
              <w:lastRenderedPageBreak/>
              <w:t>раніше п’яти років з дати ввезення їх на митну територію України чи у разі їх нецільового використання (у тому числі</w:t>
            </w:r>
            <w:r w:rsidR="00933E7D" w:rsidRPr="00B01150">
              <w:rPr>
                <w:b/>
                <w:sz w:val="28"/>
                <w:szCs w:val="28"/>
              </w:rPr>
              <w:t xml:space="preserve"> передання в користування іншим особам</w:t>
            </w:r>
            <w:r w:rsidRPr="00B01150">
              <w:rPr>
                <w:b/>
                <w:sz w:val="28"/>
                <w:szCs w:val="28"/>
              </w:rPr>
              <w:t>)</w:t>
            </w:r>
            <w:r w:rsidR="00933E7D" w:rsidRPr="00B01150">
              <w:rPr>
                <w:b/>
                <w:sz w:val="28"/>
                <w:szCs w:val="28"/>
              </w:rPr>
              <w:t xml:space="preserve"> </w:t>
            </w:r>
            <w:r w:rsidR="00826B1E" w:rsidRPr="00B01150">
              <w:rPr>
                <w:b/>
                <w:sz w:val="28"/>
                <w:szCs w:val="28"/>
              </w:rPr>
              <w:t xml:space="preserve">раніше п’яти років з дати ввезення їх на митну територію України або дострокове припинення </w:t>
            </w:r>
            <w:r w:rsidR="00933E7D" w:rsidRPr="00B01150">
              <w:rPr>
                <w:b/>
                <w:sz w:val="28"/>
                <w:szCs w:val="28"/>
              </w:rPr>
              <w:t xml:space="preserve">(втрата) статусу учасника індустріального парку </w:t>
            </w:r>
            <w:r w:rsidR="00826B1E" w:rsidRPr="00B01150">
              <w:rPr>
                <w:b/>
                <w:sz w:val="28"/>
                <w:szCs w:val="28"/>
              </w:rPr>
              <w:t>тягне за собою виникнення обов’язку зі сплати ввізного мита та пені у строки та порядку, визначені цим Кодексом.</w:t>
            </w:r>
          </w:p>
          <w:p w14:paraId="131847AF" w14:textId="77777777" w:rsidR="00826B1E" w:rsidRPr="00B01150" w:rsidRDefault="00826B1E" w:rsidP="00BD25AF">
            <w:pPr>
              <w:pStyle w:val="StyleZakonu"/>
              <w:spacing w:after="0" w:line="276" w:lineRule="auto"/>
              <w:ind w:firstLine="488"/>
              <w:rPr>
                <w:sz w:val="28"/>
                <w:szCs w:val="28"/>
              </w:rPr>
            </w:pPr>
            <w:bookmarkStart w:id="13" w:name="n13"/>
            <w:bookmarkEnd w:id="13"/>
            <w:r w:rsidRPr="00B01150">
              <w:rPr>
                <w:b/>
                <w:sz w:val="28"/>
                <w:szCs w:val="28"/>
              </w:rPr>
              <w:t>При цьому встановлені </w:t>
            </w:r>
            <w:hyperlink r:id="rId10" w:anchor="n2287" w:tgtFrame="_blank" w:history="1">
              <w:r w:rsidRPr="00B01150">
                <w:rPr>
                  <w:b/>
                  <w:sz w:val="28"/>
                  <w:szCs w:val="28"/>
                </w:rPr>
                <w:t>статтею</w:t>
              </w:r>
            </w:hyperlink>
            <w:hyperlink r:id="rId11" w:anchor="n2287" w:tgtFrame="_blank" w:history="1">
              <w:r w:rsidRPr="00B01150">
                <w:rPr>
                  <w:b/>
                  <w:sz w:val="28"/>
                  <w:szCs w:val="28"/>
                </w:rPr>
                <w:t> 102</w:t>
              </w:r>
            </w:hyperlink>
            <w:r w:rsidRPr="00B01150">
              <w:rPr>
                <w:b/>
                <w:sz w:val="28"/>
                <w:szCs w:val="28"/>
              </w:rPr>
              <w:t> Податкового кодексу України строки давності не застосовуються.</w:t>
            </w:r>
          </w:p>
        </w:tc>
      </w:tr>
    </w:tbl>
    <w:p w14:paraId="0DC04986" w14:textId="77777777" w:rsidR="00A81D42" w:rsidRDefault="00A81D42" w:rsidP="00A81D42">
      <w:pPr>
        <w:ind w:firstLine="720"/>
        <w:rPr>
          <w:rFonts w:ascii="Times New Roman" w:hAnsi="Times New Roman"/>
          <w:b/>
          <w:sz w:val="28"/>
          <w:szCs w:val="28"/>
        </w:rPr>
      </w:pPr>
    </w:p>
    <w:p w14:paraId="1DFC7C59" w14:textId="7A183543" w:rsidR="00A81D42" w:rsidRPr="00A81D42" w:rsidRDefault="00A81D42" w:rsidP="00A81D42">
      <w:pPr>
        <w:ind w:firstLine="720"/>
        <w:rPr>
          <w:rFonts w:ascii="Times New Roman" w:hAnsi="Times New Roman"/>
          <w:b/>
          <w:sz w:val="28"/>
          <w:szCs w:val="28"/>
          <w:lang w:val="uk-UA" w:eastAsia="en-US"/>
        </w:rPr>
      </w:pPr>
      <w:r w:rsidRPr="00A81D42">
        <w:rPr>
          <w:rFonts w:ascii="Times New Roman" w:hAnsi="Times New Roman"/>
          <w:b/>
          <w:sz w:val="28"/>
          <w:szCs w:val="28"/>
          <w:lang w:val="uk-UA"/>
        </w:rPr>
        <w:t>Народні депутати України</w:t>
      </w:r>
    </w:p>
    <w:p w14:paraId="50967994" w14:textId="77777777" w:rsidR="00C67CDE" w:rsidRPr="00A81D42" w:rsidRDefault="00C67CDE" w:rsidP="00C67CDE">
      <w:pPr>
        <w:jc w:val="both"/>
        <w:rPr>
          <w:lang w:val="uk-UA"/>
        </w:rPr>
      </w:pPr>
    </w:p>
    <w:sectPr w:rsidR="00C67CDE" w:rsidRPr="00A81D42" w:rsidSect="005245F4">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99F5B" w14:textId="77777777" w:rsidR="00A41C99" w:rsidRDefault="00A41C99" w:rsidP="001275DD">
      <w:pPr>
        <w:spacing w:after="0" w:line="240" w:lineRule="auto"/>
      </w:pPr>
      <w:r>
        <w:separator/>
      </w:r>
    </w:p>
  </w:endnote>
  <w:endnote w:type="continuationSeparator" w:id="0">
    <w:p w14:paraId="7B863DDE" w14:textId="77777777" w:rsidR="00A41C99" w:rsidRDefault="00A41C99" w:rsidP="0012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D50C7" w14:textId="77777777" w:rsidR="005245F4" w:rsidRDefault="005245F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48D19" w14:textId="77777777" w:rsidR="005245F4" w:rsidRDefault="005245F4">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BF4F4" w14:textId="77777777" w:rsidR="005245F4" w:rsidRDefault="005245F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5D4BF" w14:textId="77777777" w:rsidR="00A41C99" w:rsidRDefault="00A41C99" w:rsidP="001275DD">
      <w:pPr>
        <w:spacing w:after="0" w:line="240" w:lineRule="auto"/>
      </w:pPr>
      <w:r>
        <w:separator/>
      </w:r>
    </w:p>
  </w:footnote>
  <w:footnote w:type="continuationSeparator" w:id="0">
    <w:p w14:paraId="7D042C0E" w14:textId="77777777" w:rsidR="00A41C99" w:rsidRDefault="00A41C99" w:rsidP="00127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BBA52" w14:textId="77777777" w:rsidR="005245F4" w:rsidRDefault="005245F4">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116025"/>
      <w:docPartObj>
        <w:docPartGallery w:val="Page Numbers (Top of Page)"/>
        <w:docPartUnique/>
      </w:docPartObj>
    </w:sdtPr>
    <w:sdtEndPr/>
    <w:sdtContent>
      <w:p w14:paraId="6CB49BD1" w14:textId="47A78BA0" w:rsidR="005245F4" w:rsidRDefault="005245F4">
        <w:pPr>
          <w:pStyle w:val="ab"/>
          <w:jc w:val="center"/>
        </w:pPr>
        <w:r>
          <w:fldChar w:fldCharType="begin"/>
        </w:r>
        <w:r>
          <w:instrText>PAGE   \* MERGEFORMAT</w:instrText>
        </w:r>
        <w:r>
          <w:fldChar w:fldCharType="separate"/>
        </w:r>
        <w:r w:rsidR="000E2917" w:rsidRPr="000E2917">
          <w:rPr>
            <w:noProof/>
            <w:lang w:val="uk-UA"/>
          </w:rPr>
          <w:t>2</w:t>
        </w:r>
        <w:r>
          <w:fldChar w:fldCharType="end"/>
        </w:r>
      </w:p>
    </w:sdtContent>
  </w:sdt>
  <w:p w14:paraId="1C0F53A4" w14:textId="77777777" w:rsidR="005245F4" w:rsidRDefault="005245F4">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1667" w14:textId="77777777" w:rsidR="005245F4" w:rsidRDefault="005245F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DE"/>
    <w:rsid w:val="00085A6B"/>
    <w:rsid w:val="000B7C72"/>
    <w:rsid w:val="000C3197"/>
    <w:rsid w:val="000E2917"/>
    <w:rsid w:val="000E32C7"/>
    <w:rsid w:val="000F0E95"/>
    <w:rsid w:val="000F5C84"/>
    <w:rsid w:val="001001EC"/>
    <w:rsid w:val="00105480"/>
    <w:rsid w:val="001275DD"/>
    <w:rsid w:val="00143B3D"/>
    <w:rsid w:val="001578DF"/>
    <w:rsid w:val="001914A1"/>
    <w:rsid w:val="001A17E1"/>
    <w:rsid w:val="001B691D"/>
    <w:rsid w:val="001C32A8"/>
    <w:rsid w:val="001D6754"/>
    <w:rsid w:val="00214BF4"/>
    <w:rsid w:val="00226047"/>
    <w:rsid w:val="0023460D"/>
    <w:rsid w:val="002616F2"/>
    <w:rsid w:val="00294F0D"/>
    <w:rsid w:val="002B07FB"/>
    <w:rsid w:val="002B65EF"/>
    <w:rsid w:val="002D0F24"/>
    <w:rsid w:val="002D1890"/>
    <w:rsid w:val="002E5F3F"/>
    <w:rsid w:val="00336704"/>
    <w:rsid w:val="00337B35"/>
    <w:rsid w:val="003B4BF2"/>
    <w:rsid w:val="004367F8"/>
    <w:rsid w:val="00487E24"/>
    <w:rsid w:val="004B5ACD"/>
    <w:rsid w:val="004C3D42"/>
    <w:rsid w:val="004C46CA"/>
    <w:rsid w:val="004D65CB"/>
    <w:rsid w:val="005245F4"/>
    <w:rsid w:val="00561F25"/>
    <w:rsid w:val="0057008E"/>
    <w:rsid w:val="00597616"/>
    <w:rsid w:val="005A5936"/>
    <w:rsid w:val="005B0991"/>
    <w:rsid w:val="005B31F1"/>
    <w:rsid w:val="00652072"/>
    <w:rsid w:val="00655654"/>
    <w:rsid w:val="00662EDF"/>
    <w:rsid w:val="006730D5"/>
    <w:rsid w:val="006A158A"/>
    <w:rsid w:val="006C5BB7"/>
    <w:rsid w:val="0071456B"/>
    <w:rsid w:val="00714965"/>
    <w:rsid w:val="007477F7"/>
    <w:rsid w:val="007A6FA4"/>
    <w:rsid w:val="007C28AA"/>
    <w:rsid w:val="007E1A56"/>
    <w:rsid w:val="00800A18"/>
    <w:rsid w:val="00806A27"/>
    <w:rsid w:val="00813BE3"/>
    <w:rsid w:val="00820EBC"/>
    <w:rsid w:val="0082648B"/>
    <w:rsid w:val="00826B1E"/>
    <w:rsid w:val="00843C95"/>
    <w:rsid w:val="00865BD3"/>
    <w:rsid w:val="008B173B"/>
    <w:rsid w:val="00932626"/>
    <w:rsid w:val="00933E7D"/>
    <w:rsid w:val="00937047"/>
    <w:rsid w:val="009517B4"/>
    <w:rsid w:val="009731ED"/>
    <w:rsid w:val="00A41C99"/>
    <w:rsid w:val="00A51AD0"/>
    <w:rsid w:val="00A64F3D"/>
    <w:rsid w:val="00A70456"/>
    <w:rsid w:val="00A72FDA"/>
    <w:rsid w:val="00A81D42"/>
    <w:rsid w:val="00A82CA2"/>
    <w:rsid w:val="00A8419D"/>
    <w:rsid w:val="00AC0619"/>
    <w:rsid w:val="00AE224F"/>
    <w:rsid w:val="00AE7725"/>
    <w:rsid w:val="00AF4070"/>
    <w:rsid w:val="00B01150"/>
    <w:rsid w:val="00B0198B"/>
    <w:rsid w:val="00BC38FD"/>
    <w:rsid w:val="00BD25AF"/>
    <w:rsid w:val="00BF7774"/>
    <w:rsid w:val="00C4095B"/>
    <w:rsid w:val="00C40A8C"/>
    <w:rsid w:val="00C66B1D"/>
    <w:rsid w:val="00C67CDE"/>
    <w:rsid w:val="00C915A2"/>
    <w:rsid w:val="00CA07E5"/>
    <w:rsid w:val="00CA2EDB"/>
    <w:rsid w:val="00CB3A91"/>
    <w:rsid w:val="00CF225A"/>
    <w:rsid w:val="00D04919"/>
    <w:rsid w:val="00D05152"/>
    <w:rsid w:val="00D13074"/>
    <w:rsid w:val="00D46185"/>
    <w:rsid w:val="00D931FF"/>
    <w:rsid w:val="00DB6D26"/>
    <w:rsid w:val="00E0132E"/>
    <w:rsid w:val="00E0593E"/>
    <w:rsid w:val="00E14BAF"/>
    <w:rsid w:val="00E360C2"/>
    <w:rsid w:val="00E94770"/>
    <w:rsid w:val="00EA1845"/>
    <w:rsid w:val="00EC6CDE"/>
    <w:rsid w:val="00EF312B"/>
    <w:rsid w:val="00F13F93"/>
    <w:rsid w:val="00F22D31"/>
    <w:rsid w:val="00F503AF"/>
    <w:rsid w:val="00F52EBD"/>
    <w:rsid w:val="00F62993"/>
    <w:rsid w:val="00F97E9D"/>
    <w:rsid w:val="00FA238F"/>
    <w:rsid w:val="00FE1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4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CD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link w:val="StyleZakonu0"/>
    <w:rsid w:val="00C67CDE"/>
    <w:pPr>
      <w:spacing w:after="60" w:line="220" w:lineRule="exact"/>
      <w:ind w:firstLine="284"/>
      <w:jc w:val="both"/>
    </w:pPr>
    <w:rPr>
      <w:rFonts w:ascii="Times New Roman" w:hAnsi="Times New Roman"/>
      <w:sz w:val="20"/>
      <w:szCs w:val="20"/>
      <w:lang w:val="uk-UA"/>
    </w:rPr>
  </w:style>
  <w:style w:type="character" w:customStyle="1" w:styleId="StyleZakonu0">
    <w:name w:val="StyleZakonu Знак"/>
    <w:link w:val="StyleZakonu"/>
    <w:locked/>
    <w:rsid w:val="00C67CDE"/>
    <w:rPr>
      <w:rFonts w:ascii="Times New Roman" w:eastAsia="Times New Roman" w:hAnsi="Times New Roman" w:cs="Times New Roman"/>
      <w:sz w:val="20"/>
      <w:szCs w:val="20"/>
      <w:lang w:val="uk-UA" w:eastAsia="ru-RU"/>
    </w:rPr>
  </w:style>
  <w:style w:type="paragraph" w:customStyle="1" w:styleId="rvps2">
    <w:name w:val="rvps2"/>
    <w:basedOn w:val="a"/>
    <w:rsid w:val="00826B1E"/>
    <w:pPr>
      <w:spacing w:before="100" w:beforeAutospacing="1" w:after="100" w:afterAutospacing="1" w:line="240" w:lineRule="auto"/>
    </w:pPr>
    <w:rPr>
      <w:rFonts w:ascii="Times New Roman" w:hAnsi="Times New Roman"/>
      <w:sz w:val="24"/>
      <w:szCs w:val="24"/>
      <w:lang w:val="uk-UA" w:eastAsia="uk-UA"/>
    </w:rPr>
  </w:style>
  <w:style w:type="character" w:styleId="a3">
    <w:name w:val="Hyperlink"/>
    <w:basedOn w:val="a0"/>
    <w:uiPriority w:val="99"/>
    <w:semiHidden/>
    <w:unhideWhenUsed/>
    <w:rsid w:val="00826B1E"/>
    <w:rPr>
      <w:color w:val="0000FF"/>
      <w:u w:val="single"/>
    </w:rPr>
  </w:style>
  <w:style w:type="character" w:customStyle="1" w:styleId="rvts46">
    <w:name w:val="rvts46"/>
    <w:basedOn w:val="a0"/>
    <w:rsid w:val="00826B1E"/>
  </w:style>
  <w:style w:type="character" w:customStyle="1" w:styleId="rvts9">
    <w:name w:val="rvts9"/>
    <w:basedOn w:val="a0"/>
    <w:rsid w:val="004D65CB"/>
  </w:style>
  <w:style w:type="character" w:customStyle="1" w:styleId="rvts37">
    <w:name w:val="rvts37"/>
    <w:basedOn w:val="a0"/>
    <w:rsid w:val="000F5C84"/>
  </w:style>
  <w:style w:type="character" w:styleId="a4">
    <w:name w:val="annotation reference"/>
    <w:basedOn w:val="a0"/>
    <w:uiPriority w:val="99"/>
    <w:semiHidden/>
    <w:unhideWhenUsed/>
    <w:rsid w:val="00F503AF"/>
    <w:rPr>
      <w:sz w:val="16"/>
      <w:szCs w:val="16"/>
    </w:rPr>
  </w:style>
  <w:style w:type="paragraph" w:styleId="a5">
    <w:name w:val="annotation text"/>
    <w:basedOn w:val="a"/>
    <w:link w:val="a6"/>
    <w:uiPriority w:val="99"/>
    <w:semiHidden/>
    <w:unhideWhenUsed/>
    <w:rsid w:val="00F503AF"/>
    <w:pPr>
      <w:spacing w:line="240" w:lineRule="auto"/>
    </w:pPr>
    <w:rPr>
      <w:sz w:val="20"/>
      <w:szCs w:val="20"/>
    </w:rPr>
  </w:style>
  <w:style w:type="character" w:customStyle="1" w:styleId="a6">
    <w:name w:val="Текст примітки Знак"/>
    <w:basedOn w:val="a0"/>
    <w:link w:val="a5"/>
    <w:uiPriority w:val="99"/>
    <w:semiHidden/>
    <w:rsid w:val="00F503AF"/>
    <w:rPr>
      <w:rFonts w:ascii="Calibri" w:eastAsia="Times New Roman" w:hAnsi="Calibri" w:cs="Times New Roman"/>
      <w:sz w:val="20"/>
      <w:szCs w:val="20"/>
      <w:lang w:eastAsia="ru-RU"/>
    </w:rPr>
  </w:style>
  <w:style w:type="paragraph" w:styleId="a7">
    <w:name w:val="annotation subject"/>
    <w:basedOn w:val="a5"/>
    <w:next w:val="a5"/>
    <w:link w:val="a8"/>
    <w:uiPriority w:val="99"/>
    <w:semiHidden/>
    <w:unhideWhenUsed/>
    <w:rsid w:val="00F503AF"/>
    <w:rPr>
      <w:b/>
      <w:bCs/>
    </w:rPr>
  </w:style>
  <w:style w:type="character" w:customStyle="1" w:styleId="a8">
    <w:name w:val="Тема примітки Знак"/>
    <w:basedOn w:val="a6"/>
    <w:link w:val="a7"/>
    <w:uiPriority w:val="99"/>
    <w:semiHidden/>
    <w:rsid w:val="00F503AF"/>
    <w:rPr>
      <w:rFonts w:ascii="Calibri" w:eastAsia="Times New Roman" w:hAnsi="Calibri" w:cs="Times New Roman"/>
      <w:b/>
      <w:bCs/>
      <w:sz w:val="20"/>
      <w:szCs w:val="20"/>
      <w:lang w:eastAsia="ru-RU"/>
    </w:rPr>
  </w:style>
  <w:style w:type="paragraph" w:styleId="a9">
    <w:name w:val="Balloon Text"/>
    <w:basedOn w:val="a"/>
    <w:link w:val="aa"/>
    <w:uiPriority w:val="99"/>
    <w:semiHidden/>
    <w:unhideWhenUsed/>
    <w:rsid w:val="00CB3A91"/>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CB3A91"/>
    <w:rPr>
      <w:rFonts w:ascii="Segoe UI" w:eastAsia="Times New Roman" w:hAnsi="Segoe UI" w:cs="Segoe UI"/>
      <w:sz w:val="18"/>
      <w:szCs w:val="18"/>
      <w:lang w:eastAsia="ru-RU"/>
    </w:rPr>
  </w:style>
  <w:style w:type="paragraph" w:styleId="ab">
    <w:name w:val="header"/>
    <w:basedOn w:val="a"/>
    <w:link w:val="ac"/>
    <w:uiPriority w:val="99"/>
    <w:unhideWhenUsed/>
    <w:rsid w:val="001275DD"/>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1275DD"/>
    <w:rPr>
      <w:rFonts w:ascii="Calibri" w:eastAsia="Times New Roman" w:hAnsi="Calibri" w:cs="Times New Roman"/>
      <w:lang w:eastAsia="ru-RU"/>
    </w:rPr>
  </w:style>
  <w:style w:type="paragraph" w:styleId="ad">
    <w:name w:val="footer"/>
    <w:basedOn w:val="a"/>
    <w:link w:val="ae"/>
    <w:uiPriority w:val="99"/>
    <w:unhideWhenUsed/>
    <w:rsid w:val="001275DD"/>
    <w:pPr>
      <w:tabs>
        <w:tab w:val="center" w:pos="4677"/>
        <w:tab w:val="right" w:pos="9355"/>
      </w:tabs>
      <w:spacing w:after="0" w:line="240" w:lineRule="auto"/>
    </w:pPr>
  </w:style>
  <w:style w:type="character" w:customStyle="1" w:styleId="ae">
    <w:name w:val="Нижній колонтитул Знак"/>
    <w:basedOn w:val="a0"/>
    <w:link w:val="ad"/>
    <w:uiPriority w:val="99"/>
    <w:rsid w:val="001275D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0956">
      <w:bodyDiv w:val="1"/>
      <w:marLeft w:val="0"/>
      <w:marRight w:val="0"/>
      <w:marTop w:val="0"/>
      <w:marBottom w:val="0"/>
      <w:divBdr>
        <w:top w:val="none" w:sz="0" w:space="0" w:color="auto"/>
        <w:left w:val="none" w:sz="0" w:space="0" w:color="auto"/>
        <w:bottom w:val="none" w:sz="0" w:space="0" w:color="auto"/>
        <w:right w:val="none" w:sz="0" w:space="0" w:color="auto"/>
      </w:divBdr>
    </w:div>
    <w:div w:id="649941175">
      <w:bodyDiv w:val="1"/>
      <w:marLeft w:val="0"/>
      <w:marRight w:val="0"/>
      <w:marTop w:val="0"/>
      <w:marBottom w:val="0"/>
      <w:divBdr>
        <w:top w:val="none" w:sz="0" w:space="0" w:color="auto"/>
        <w:left w:val="none" w:sz="0" w:space="0" w:color="auto"/>
        <w:bottom w:val="none" w:sz="0" w:space="0" w:color="auto"/>
        <w:right w:val="none" w:sz="0" w:space="0" w:color="auto"/>
      </w:divBdr>
    </w:div>
    <w:div w:id="700594810">
      <w:bodyDiv w:val="1"/>
      <w:marLeft w:val="0"/>
      <w:marRight w:val="0"/>
      <w:marTop w:val="0"/>
      <w:marBottom w:val="0"/>
      <w:divBdr>
        <w:top w:val="none" w:sz="0" w:space="0" w:color="auto"/>
        <w:left w:val="none" w:sz="0" w:space="0" w:color="auto"/>
        <w:bottom w:val="none" w:sz="0" w:space="0" w:color="auto"/>
        <w:right w:val="none" w:sz="0" w:space="0" w:color="auto"/>
      </w:divBdr>
    </w:div>
    <w:div w:id="1005472050">
      <w:bodyDiv w:val="1"/>
      <w:marLeft w:val="0"/>
      <w:marRight w:val="0"/>
      <w:marTop w:val="0"/>
      <w:marBottom w:val="0"/>
      <w:divBdr>
        <w:top w:val="none" w:sz="0" w:space="0" w:color="auto"/>
        <w:left w:val="none" w:sz="0" w:space="0" w:color="auto"/>
        <w:bottom w:val="none" w:sz="0" w:space="0" w:color="auto"/>
        <w:right w:val="none" w:sz="0" w:space="0" w:color="auto"/>
      </w:divBdr>
    </w:div>
    <w:div w:id="1130636439">
      <w:bodyDiv w:val="1"/>
      <w:marLeft w:val="0"/>
      <w:marRight w:val="0"/>
      <w:marTop w:val="0"/>
      <w:marBottom w:val="0"/>
      <w:divBdr>
        <w:top w:val="none" w:sz="0" w:space="0" w:color="auto"/>
        <w:left w:val="none" w:sz="0" w:space="0" w:color="auto"/>
        <w:bottom w:val="none" w:sz="0" w:space="0" w:color="auto"/>
        <w:right w:val="none" w:sz="0" w:space="0" w:color="auto"/>
      </w:divBdr>
    </w:div>
    <w:div w:id="1413164488">
      <w:bodyDiv w:val="1"/>
      <w:marLeft w:val="0"/>
      <w:marRight w:val="0"/>
      <w:marTop w:val="0"/>
      <w:marBottom w:val="0"/>
      <w:divBdr>
        <w:top w:val="none" w:sz="0" w:space="0" w:color="auto"/>
        <w:left w:val="none" w:sz="0" w:space="0" w:color="auto"/>
        <w:bottom w:val="none" w:sz="0" w:space="0" w:color="auto"/>
        <w:right w:val="none" w:sz="0" w:space="0" w:color="auto"/>
      </w:divBdr>
    </w:div>
    <w:div w:id="1619288743">
      <w:bodyDiv w:val="1"/>
      <w:marLeft w:val="0"/>
      <w:marRight w:val="0"/>
      <w:marTop w:val="0"/>
      <w:marBottom w:val="0"/>
      <w:divBdr>
        <w:top w:val="none" w:sz="0" w:space="0" w:color="auto"/>
        <w:left w:val="none" w:sz="0" w:space="0" w:color="auto"/>
        <w:bottom w:val="none" w:sz="0" w:space="0" w:color="auto"/>
        <w:right w:val="none" w:sz="0" w:space="0" w:color="auto"/>
      </w:divBdr>
    </w:div>
    <w:div w:id="1671104358">
      <w:bodyDiv w:val="1"/>
      <w:marLeft w:val="0"/>
      <w:marRight w:val="0"/>
      <w:marTop w:val="0"/>
      <w:marBottom w:val="0"/>
      <w:divBdr>
        <w:top w:val="none" w:sz="0" w:space="0" w:color="auto"/>
        <w:left w:val="none" w:sz="0" w:space="0" w:color="auto"/>
        <w:bottom w:val="none" w:sz="0" w:space="0" w:color="auto"/>
        <w:right w:val="none" w:sz="0" w:space="0" w:color="auto"/>
      </w:divBdr>
    </w:div>
    <w:div w:id="2004702283">
      <w:bodyDiv w:val="1"/>
      <w:marLeft w:val="0"/>
      <w:marRight w:val="0"/>
      <w:marTop w:val="0"/>
      <w:marBottom w:val="0"/>
      <w:divBdr>
        <w:top w:val="none" w:sz="0" w:space="0" w:color="auto"/>
        <w:left w:val="none" w:sz="0" w:space="0" w:color="auto"/>
        <w:bottom w:val="none" w:sz="0" w:space="0" w:color="auto"/>
        <w:right w:val="none" w:sz="0" w:space="0" w:color="auto"/>
      </w:divBdr>
    </w:div>
    <w:div w:id="20477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rada/show/2755-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zakon.rada.gov.ua/rada/show/2755-1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rada/show/584%D0%B0-1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11BBB-7514-4B49-B97B-2BD1677CC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441FA-33E8-4EC2-A10B-E67545DD23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F22C71-9DE4-42C0-BD82-C955D4D6B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3942</Words>
  <Characters>2248</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2021-06-23T12:21:00Z</dcterms:created>
  <dcterms:modified xsi:type="dcterms:W3CDTF">2021-06-23T12:21:00Z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