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62" w:rsidRDefault="000D4362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A3FFA" w:rsidRDefault="00BA3FFA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A3FFA" w:rsidRDefault="00BA3FFA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A3FFA" w:rsidRDefault="00BA3FFA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A3FFA" w:rsidRDefault="00BA3FFA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A3FFA" w:rsidRPr="00BA3FFA" w:rsidRDefault="00BA3FFA" w:rsidP="00BA3FFA">
      <w:pPr>
        <w:rPr>
          <w:rFonts w:ascii="Times New Roman" w:hAnsi="Times New Roman"/>
          <w:b/>
          <w:sz w:val="28"/>
        </w:rPr>
      </w:pPr>
    </w:p>
    <w:p w:rsidR="00BA3FFA" w:rsidRDefault="00BA3FFA" w:rsidP="00BA3FFA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A40778" w:rsidRDefault="00A40778" w:rsidP="00BA3FFA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A40778" w:rsidRDefault="00A40778" w:rsidP="00BA3FFA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A40778" w:rsidRPr="00A40778" w:rsidRDefault="00A40778" w:rsidP="00A40778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A40778">
        <w:rPr>
          <w:rFonts w:ascii="Times New Roman" w:hAnsi="Times New Roman"/>
          <w:b/>
          <w:bCs/>
          <w:noProof/>
          <w:sz w:val="28"/>
          <w:szCs w:val="28"/>
        </w:rPr>
        <w:t>ВИСНОВОК</w:t>
      </w:r>
    </w:p>
    <w:p w:rsidR="00A40778" w:rsidRPr="008324D8" w:rsidRDefault="00A40778" w:rsidP="00A407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778">
        <w:rPr>
          <w:rFonts w:ascii="Times New Roman" w:hAnsi="Times New Roman"/>
          <w:b/>
          <w:bCs/>
          <w:noProof/>
          <w:sz w:val="28"/>
          <w:szCs w:val="28"/>
        </w:rPr>
        <w:t>на</w:t>
      </w:r>
      <w:r w:rsidRPr="00A4077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</w:t>
      </w:r>
      <w:r w:rsidRPr="00A40778">
        <w:rPr>
          <w:rFonts w:ascii="Times New Roman" w:hAnsi="Times New Roman"/>
          <w:b/>
          <w:bCs/>
          <w:sz w:val="28"/>
          <w:szCs w:val="28"/>
        </w:rPr>
        <w:t>роект Закону України «</w:t>
      </w:r>
      <w:r w:rsidRPr="00A4077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8324D8">
        <w:rPr>
          <w:rFonts w:ascii="Times New Roman" w:hAnsi="Times New Roman"/>
          <w:b/>
          <w:bCs/>
          <w:sz w:val="28"/>
          <w:szCs w:val="28"/>
        </w:rPr>
        <w:t xml:space="preserve">внесення змін до деяких </w:t>
      </w:r>
    </w:p>
    <w:p w:rsidR="00A40778" w:rsidRPr="008324D8" w:rsidRDefault="00A40778" w:rsidP="00A407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4D8">
        <w:rPr>
          <w:rFonts w:ascii="Times New Roman" w:hAnsi="Times New Roman"/>
          <w:b/>
          <w:bCs/>
          <w:sz w:val="28"/>
          <w:szCs w:val="28"/>
        </w:rPr>
        <w:t>законодавчих актів України щодо регулювання обігу рослин</w:t>
      </w:r>
    </w:p>
    <w:p w:rsidR="00A40778" w:rsidRPr="008324D8" w:rsidRDefault="00A40778" w:rsidP="00A4077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324D8">
        <w:rPr>
          <w:rFonts w:ascii="Times New Roman" w:hAnsi="Times New Roman"/>
          <w:b/>
          <w:bCs/>
          <w:sz w:val="28"/>
          <w:szCs w:val="28"/>
        </w:rPr>
        <w:t>коноплі в промислових, медичних та наукових цілях»</w:t>
      </w:r>
    </w:p>
    <w:p w:rsidR="00A40778" w:rsidRPr="008324D8" w:rsidRDefault="00A40778" w:rsidP="00A407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Поданий законопроект є альтернативним до 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роекту Закону України             «</w:t>
      </w:r>
      <w:r w:rsidRPr="008324D8">
        <w:rPr>
          <w:rFonts w:ascii="Times New Roman" w:hAnsi="Times New Roman"/>
          <w:sz w:val="28"/>
          <w:szCs w:val="28"/>
          <w:lang w:eastAsia="uk-UA"/>
        </w:rPr>
        <w:t xml:space="preserve">Про внесення змін до деяких законодавчих актів України щодо регулювання обігу конопель в медичних цілях, науковій та науково-технічній діяльності»                реєстр. № 5596 від 02.06.2021. 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У законопроекті пропонується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внести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зміни до 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 законодавства України про охорону здоров'я, законів України 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«Про наркотичні засоби, психотропні речовини і прекурсори» (далі – Закон), 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«Про ліцензування видів господарської діяльності»,</w:t>
      </w:r>
      <w:r w:rsidRPr="00A407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мають метою, як зазначається у пояснювальній записці до нього, «утворення в Україні контрольованого обігу рослин коноплі для промислового, медичного та наукового застосування з урахуванням кращого міжнародного досвіду» (п. 2).</w:t>
      </w:r>
    </w:p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Положеннями проекту розширюється термінологія зазначених вище актів законодавства (поняттями «медична практика», «рослини коноплі», «р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ослини коноплі для промислових цілей», «рослини коноплі для медичних та наукових цілей», «продукція з рослин коноплі для медичних та наукових цілей», «о</w:t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біг рослин коноплі для медичних та наукових цілей»), а також передбачається встановити, що: «рослини коноплі для промислових цілей не відносяться до наркотичних засобів, психотропних речовин та прекурсорів»; «для культивування рослин коноплі для промислових цілей дозволяється використовувати </w:t>
      </w:r>
      <w:proofErr w:type="spellStart"/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добазове</w:t>
      </w:r>
      <w:proofErr w:type="spellEnd"/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, базове та сертифіковане насіння, яке відповідає вимогам Закону України «Про насіння і садивний матеріал»»; «культивування рослин роду коноплі для медичних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та наукових цілей здійснюється: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br/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а) з використанням кондиційного і репродуктивного насіння (насіннєвого матеріалу) рослин коноплі, внесених до Реєстру сортів рослин України, відповідно не нижче першої та другої репродукції (конопель). б) в умовах закритого ґрунту» та ін.</w:t>
      </w:r>
    </w:p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Законопроект на момент його внесення до Верховної Ради України не включений до Плану законопроектної роботи Верховної Ради України на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2021 рік, затвердженого постановою Верховної Ради України від 02.02.2021                № 1165-ІХ.</w:t>
      </w:r>
      <w:bookmarkStart w:id="0" w:name="_Hlk75597070"/>
    </w:p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_Hlk68616393"/>
      <w:bookmarkStart w:id="2" w:name="_Hlk69315016"/>
      <w:bookmarkEnd w:id="0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Головне управління, розглянувши законопроект</w:t>
      </w:r>
      <w:r w:rsidRPr="00A40778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у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стислий термін, висловлює щодо нього такі зауваження і пропозиції.</w:t>
      </w:r>
    </w:p>
    <w:p w:rsidR="00A40778" w:rsidRPr="00A40778" w:rsidRDefault="00A40778" w:rsidP="00A407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1.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bookmarkStart w:id="3" w:name="_Hlk62812807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Відповідно до 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Єдиної конвенції про наркотичні засоби </w:t>
      </w:r>
      <w:bookmarkEnd w:id="3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1961 року з поправками, внесеними до неї у відповідності до Протоколу 1972 року про поправки до Єдиної конвенції про наркотичні засоби 1961 року</w:t>
      </w:r>
      <w:r w:rsidRPr="00A4077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footnoteReference w:id="1"/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Сторони  визнали, що застосування наркотичних засобів в медицині продовжує бути необхідним для полегшення болю і страждань і що повинні бути вжиті належні заходи для задоволення потреб в наркотичних засобах для таких цілей (преамбула)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Конвенція передбачає створення списків наркотичних засобів «Список  I»,  «Список  II»,  «Список  III» і «Список IV».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Наркотичні засоби, контрольовані  відповідно до Конвенції 1961 року включені до Списку I або Списку II в залежності від співвідношення меж їх терапевтичної корисності і наркотичним потенціалом. До Списку I включаються наркотичні засоби, що підпадають під стандартний режим контролю, встановлений Конвенцією 1961 року, в той час як до Списку II - наркотичні засоби, які, як вважається, мають менший наркотичний потенціал і більш широко використовуються в медицині. Крім того, до Списку III поміщаються препарати, які містять включені в списки I і II наркотичні засоби і які призначаються для законного медичного використання, а в Список IV поміщаються окремі наркотичні засоби зі Списку I, які, як вважається, характеризуються особливо небезпечними властивостями і мають обмежене терапевтичне застосування або не мають такого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footnoteReference w:id="2"/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Канабіс</w:t>
      </w:r>
      <w:proofErr w:type="spellEnd"/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смола </w:t>
      </w:r>
      <w:proofErr w:type="spellStart"/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канабіса</w:t>
      </w:r>
      <w:proofErr w:type="spellEnd"/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були включені до Списку І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A40778" w:rsidRPr="00A40778" w:rsidRDefault="00A40778" w:rsidP="00A40778">
      <w:pPr>
        <w:widowControl w:val="0"/>
        <w:autoSpaceDE w:val="0"/>
        <w:autoSpaceDN w:val="0"/>
        <w:adjustRightInd w:val="0"/>
        <w:spacing w:line="326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Крім цієї Конвенції, міжнародну систему контролю над наркотичними засобами та психотропними речовинами складають також Конвенція ООН про боротьбу проти незаконного обігу наркотичних засобів і психотропних речовин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footnoteReference w:id="3"/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Конвенція ООН про психотропні речовини від 21.02.1972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footnoteReference w:id="4"/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Систем</w:t>
      </w:r>
      <w:r w:rsidRPr="008324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контролю, що передбачають вказані конвенції, покликані забезпечити наявність наркотичних засобів і психотропних речовин для законного їх використання в медичних або наукових цілях, проте запобігти незаконному їх обігу.</w:t>
      </w:r>
    </w:p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Конвенцією ООН про боротьбу проти незаконного обігу наркотичних засобів і психотропних речовин передбачено, що держави-учасниці вживають необхідних засобів для запобігання незаконного поширення речовин, що використовуються для виготовлення наркотичних засобів, психотропних речовин (ч. 1 ст. 12), зокрема, здійснюють з цією метою контроль за підприємствами, які виробляють і розповсюджують такі речовини або беруть участь у такому виготовленні чи розповсюдженні (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пп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. «і»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п. «b» ч. 7 ст. 12), та можуть вживати більш суворі заходи, ніж ті, які передбачені цією Конвенцією, якщо, такі заходи, на їх думку, є доцільними або необхідними для запобігання або припинення незаконного обігу (ст. 24).</w:t>
      </w:r>
    </w:p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Такі підходи відображені й в законодавстві України.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Зокрема, 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Законом України «</w:t>
      </w:r>
      <w:r w:rsidRPr="00A40778">
        <w:rPr>
          <w:rFonts w:ascii="Times New Roman" w:eastAsia="Times New Roman" w:hAnsi="Times New Roman"/>
          <w:spacing w:val="10"/>
          <w:sz w:val="28"/>
          <w:szCs w:val="28"/>
          <w:lang w:eastAsia="uk-UA"/>
        </w:rPr>
        <w:t xml:space="preserve">Про наркотичні засоби, психотропні речовини і прекурсори» (далі – Закон) передбачено, що 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на території України встановлюються заходи контролю за обігом наркотичних засобів, психотропних речовин і прекурсорів, які передбачають</w:t>
      </w:r>
      <w:bookmarkStart w:id="4" w:name="n92"/>
      <w:bookmarkEnd w:id="4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: ліцензування видів діяльності з обігу наркотичних засобів, психотропних речовин і прекурсорів; </w:t>
      </w:r>
      <w:bookmarkStart w:id="5" w:name="n94"/>
      <w:bookmarkEnd w:id="5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запровадження системи дозволів у цій сфері</w:t>
      </w:r>
      <w:bookmarkStart w:id="6" w:name="n95"/>
      <w:bookmarkEnd w:id="6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; визначення щорічної потреби України в наркотичних засобах, психотропних речовинах на підставі розрахункової потреби в цих засобах і речовинах для медичних, наукових, промислових цілей та інших цілей, передбачених цим Законом; </w:t>
      </w:r>
      <w:bookmarkStart w:id="7" w:name="n96"/>
      <w:bookmarkEnd w:id="7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застосування заборон та обмежень щодо обігу окремих наркотичних засобів, психотропних речовин і прекурсорів та встановлення квот, у межах яких здійснюються виробництво, виготовлення, зберігання, ввезення на територію України, вивезення з території України наркотичних засобів і психотропних речовин (ст. 6).</w:t>
      </w:r>
    </w:p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гідно з ч. 2 ст. 7 Закону у таблиці I Переліку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наркотичних засобів, психотропних речовин і прекурсорів (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затверджений п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остановою 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Кабінету Міністрів України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06.05.2000 № 770 (далі – Перелік)</w:t>
      </w:r>
      <w:r w:rsidRPr="008324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анабіс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, смола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канабісу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, екстракти і настойки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канабісу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включені до Списку № 1</w:t>
      </w:r>
      <w:r w:rsidRPr="00A407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uk-UA"/>
        </w:rPr>
        <w:t xml:space="preserve"> «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Особливо небезпечні наркотичні засоби, обіг яких заборонено»; рослини роду коноплі (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Cannabis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)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Списку № 3 «Рослини, які містять наркотичні засоби та психотропні речовини і обіг яких допускається для промислових цілей» (таблиця І), що передбачає суворі обмеження на їх обіг. </w:t>
      </w:r>
    </w:p>
    <w:p w:rsidR="00A40778" w:rsidRPr="00A40778" w:rsidRDefault="00A40778" w:rsidP="00A40778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Зазначені обмеження і заборони, окрім іншого, обумовлені ризиками небезпеки для здоров’я людини вживання рослин</w:t>
      </w:r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роду коноплі (</w:t>
      </w:r>
      <w:proofErr w:type="spellStart"/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/>
        </w:rPr>
        <w:t>Cannabis</w:t>
      </w:r>
      <w:proofErr w:type="spellEnd"/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). Зокрема, дослідження свідчать, що 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овготривале вживання цього засобу 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>може викликати залежність та впливати на рівень інтелекту</w:t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5"/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778">
        <w:rPr>
          <w:rFonts w:ascii="Times New Roman" w:hAnsi="Times New Roman"/>
          <w:sz w:val="28"/>
          <w:szCs w:val="28"/>
        </w:rPr>
        <w:t xml:space="preserve">Будь-яке збільшення масштабів використання </w:t>
      </w:r>
      <w:proofErr w:type="spellStart"/>
      <w:r w:rsidRPr="00A40778">
        <w:rPr>
          <w:rFonts w:ascii="Times New Roman" w:hAnsi="Times New Roman"/>
          <w:sz w:val="28"/>
          <w:szCs w:val="28"/>
        </w:rPr>
        <w:t>канабісу</w:t>
      </w:r>
      <w:proofErr w:type="spellEnd"/>
      <w:r w:rsidRPr="00A40778">
        <w:rPr>
          <w:rFonts w:ascii="Times New Roman" w:hAnsi="Times New Roman"/>
          <w:sz w:val="28"/>
          <w:szCs w:val="28"/>
        </w:rPr>
        <w:t xml:space="preserve"> не в медичних цілях посилить небажані наслідки для здоров'я людей. До найбільш вірогідних наслідків відносяться підвищення травматизму від дорожньо-транспортних пригод, поширення залежності від </w:t>
      </w:r>
      <w:proofErr w:type="spellStart"/>
      <w:r w:rsidRPr="00A40778">
        <w:rPr>
          <w:rFonts w:ascii="Times New Roman" w:hAnsi="Times New Roman"/>
          <w:sz w:val="28"/>
          <w:szCs w:val="28"/>
        </w:rPr>
        <w:t>канабісу</w:t>
      </w:r>
      <w:proofErr w:type="spellEnd"/>
      <w:r w:rsidRPr="00A40778">
        <w:rPr>
          <w:rFonts w:ascii="Times New Roman" w:hAnsi="Times New Roman"/>
          <w:sz w:val="28"/>
          <w:szCs w:val="28"/>
        </w:rPr>
        <w:t xml:space="preserve"> та зловживання ним, збільшення частоти психозів та інших психічних розладів, відставання в психосоціальному розвитку підлітків</w:t>
      </w:r>
      <w:r w:rsidRPr="00A40778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A40778">
        <w:rPr>
          <w:rFonts w:ascii="Times New Roman" w:hAnsi="Times New Roman"/>
          <w:sz w:val="28"/>
          <w:szCs w:val="28"/>
        </w:rPr>
        <w:t>.</w:t>
      </w:r>
    </w:p>
    <w:p w:rsidR="00A40778" w:rsidRPr="00A40778" w:rsidRDefault="00A40778" w:rsidP="00A40778">
      <w:pPr>
        <w:widowControl w:val="0"/>
        <w:autoSpaceDE w:val="0"/>
        <w:autoSpaceDN w:val="0"/>
        <w:adjustRightInd w:val="0"/>
        <w:spacing w:line="326" w:lineRule="exact"/>
        <w:ind w:firstLine="69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" w:name="_Hlk66371971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У січні 2019 року Всесвітня організація охорони здоров'я (ВООЗ) направила ряд рекомендацій щодо зміни контролю над оборотом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канабісу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та речовинами, пов'язаними з ним. 02.12.2020 Комісія ООН з наркотичних засобів прийняла рішення по цих рекомендацій. Зокрема, вона постановила «виключити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канабіс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і його похідні зі Списку IV Єдиної конвенції про наркотичні засоби </w:t>
      </w:r>
      <w:r w:rsidR="00AD4C1A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1961 року, куди входять наркотики, що підлягають жорсткому контролю. У той же час вона зберегла його у Списку I - переліку всіх наркотиків, які підпадають під міжнародний контроль</w:t>
      </w:r>
      <w:r w:rsidRPr="00A4077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footnoteReference w:id="7"/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bookmarkEnd w:id="8"/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Нині законодавством країн Європи (зокрема, Греції, Люксембург, Македонії, Німеччини, Норвегії, Португалії), Північної та Південної Америки (Аргентина, Колумбія, Мексика, Перу, Чилі) та інших країн (Австралія, Філіппіни, Ямайка) дозволено використання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канабісу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в медицині</w:t>
      </w:r>
      <w:r w:rsidRPr="00A4077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footnoteReference w:id="8"/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A40778" w:rsidRPr="00A40778" w:rsidRDefault="00A40778" w:rsidP="00A40778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Зважаючи на вказані вище обставини, лібералізація законодавства України у цій сфері, на думку Головного управління, допустима лише за умови створення </w:t>
      </w:r>
      <w:r w:rsidRPr="00A4077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ефективного механізму контролю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оскільки враховуючи рівень корупції, </w:t>
      </w:r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DFDFD"/>
          <w:lang w:eastAsia="ru-RU"/>
        </w:rPr>
        <w:t>пом’якшення право</w:t>
      </w:r>
      <w:r w:rsidRPr="008324D8">
        <w:rPr>
          <w:rFonts w:ascii="Times New Roman" w:eastAsia="Times New Roman" w:hAnsi="Times New Roman"/>
          <w:bCs/>
          <w:sz w:val="28"/>
          <w:szCs w:val="28"/>
          <w:shd w:val="clear" w:color="auto" w:fill="FDFDFD"/>
          <w:lang w:eastAsia="ru-RU"/>
        </w:rPr>
        <w:t>во</w:t>
      </w:r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DFDFD"/>
          <w:lang w:eastAsia="ru-RU"/>
        </w:rPr>
        <w:t xml:space="preserve">го режиму обігу 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рослин </w:t>
      </w:r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роду коноплі (</w:t>
      </w:r>
      <w:proofErr w:type="spellStart"/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Cannabis</w:t>
      </w:r>
      <w:proofErr w:type="spellEnd"/>
      <w:r w:rsidRPr="00A407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Pr="00A4077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DFDFD"/>
          <w:lang w:eastAsia="ru-RU"/>
        </w:rPr>
        <w:t>може, крім позитивних результатів, також мати суттєві негативні наслідки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2.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Потребує вдосконалення термінологія проекту Закону. Зокрема, в</w:t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изначення поняття «</w:t>
      </w:r>
      <w:bookmarkStart w:id="10" w:name="_Hlk75627588"/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продукція з рослин коноплі для медичних та наукових цілей</w:t>
      </w:r>
      <w:bookmarkEnd w:id="10"/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– будь-яка продукція, яка виготовлена із рослин коноплі для медичних та наукових цілей» 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(зміни до ч. 1 ст. 1 Закону), на нашу думку, не розкриває основних ознак, за якими зазначену продукцію можна було б чітко ідентифікувати.</w:t>
      </w:r>
    </w:p>
    <w:p w:rsidR="00A40778" w:rsidRPr="00A40778" w:rsidRDefault="00A40778" w:rsidP="00A407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b/>
          <w:sz w:val="28"/>
          <w:szCs w:val="28"/>
          <w:lang w:eastAsia="uk-UA"/>
        </w:rPr>
        <w:t>3.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На нашу думку, більш змістовного обґрунтування потребує збільшення вмісту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тетрагідроканабінолу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у висушеній соломі коноплі до 0,3 відсотка для промислових цілей, згідно з визначенням нового терміну «промислові коноплі», який пропонується доповнити до ст. 1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Закону України</w:t>
      </w:r>
      <w:r w:rsidR="00D1705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наркотичні засоби, психотропні речовини і прекурсори» (далі – Закон). Варто зазначити, що згідно з </w:t>
      </w:r>
      <w:proofErr w:type="spellStart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>абз</w:t>
      </w:r>
      <w:proofErr w:type="spellEnd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. 2 Примітки Списку № 3 </w:t>
      </w:r>
      <w:bookmarkStart w:id="11" w:name="n21"/>
      <w:bookmarkEnd w:id="11"/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«Рослини, які містять наркотичні засоби та психотропні речовини і обіг яких допускається для промислових цілей» Переліку наркотичних засобів, психотропних речовин і прекурсорів, затвердженого постановою Кабінету Міністрів України від 06.05.2000 № 770, культивування рослин роду </w:t>
      </w:r>
      <w:hyperlink r:id="rId8" w:anchor="w1_3" w:history="1">
        <w:r w:rsidRPr="00A40778">
          <w:rPr>
            <w:rFonts w:ascii="Times New Roman" w:eastAsia="Times New Roman" w:hAnsi="Times New Roman"/>
            <w:sz w:val="28"/>
            <w:szCs w:val="28"/>
            <w:lang w:eastAsia="uk-UA"/>
          </w:rPr>
          <w:t>конопл</w:t>
        </w:r>
      </w:hyperlink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і для промислових цілей, за винятком виробництва та (або) виготовлення наркотичних засобів і психотропних речовин, допускається за умови використання насіння, зібраного із сортів рослин, у висушеній соломі яких </w:t>
      </w:r>
      <w:r w:rsidRPr="00A40778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вміст </w:t>
      </w:r>
      <w:proofErr w:type="spellStart"/>
      <w:r w:rsidRPr="00A40778">
        <w:rPr>
          <w:rFonts w:ascii="Times New Roman" w:eastAsia="Times New Roman" w:hAnsi="Times New Roman"/>
          <w:i/>
          <w:sz w:val="28"/>
          <w:szCs w:val="28"/>
          <w:lang w:eastAsia="uk-UA"/>
        </w:rPr>
        <w:t>тетрагідроканнабінолу</w:t>
      </w:r>
      <w:proofErr w:type="spellEnd"/>
      <w:r w:rsidRPr="00A40778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не перевищував 0,08 відсотка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. Тобто, запропонованими змінами у ст. 1 Закону передбачається суттєве, </w:t>
      </w:r>
      <w:r w:rsidRPr="00A40778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у 3,75 рази збільшення </w:t>
      </w:r>
      <w:r w:rsidRPr="00A40778">
        <w:rPr>
          <w:rFonts w:ascii="Times New Roman" w:eastAsia="Times New Roman" w:hAnsi="Times New Roman"/>
          <w:i/>
          <w:spacing w:val="10"/>
          <w:sz w:val="28"/>
          <w:szCs w:val="28"/>
          <w:lang w:eastAsia="uk-UA"/>
        </w:rPr>
        <w:t xml:space="preserve">вмісту </w:t>
      </w:r>
      <w:proofErr w:type="spellStart"/>
      <w:r w:rsidRPr="00A40778">
        <w:rPr>
          <w:rFonts w:ascii="Times New Roman" w:eastAsia="Times New Roman" w:hAnsi="Times New Roman"/>
          <w:i/>
          <w:spacing w:val="10"/>
          <w:sz w:val="28"/>
          <w:szCs w:val="28"/>
          <w:lang w:eastAsia="uk-UA"/>
        </w:rPr>
        <w:t>тетрагідроканабінолу</w:t>
      </w:r>
      <w:proofErr w:type="spellEnd"/>
      <w:r w:rsidRPr="00A40778">
        <w:rPr>
          <w:rFonts w:ascii="Times New Roman" w:eastAsia="Times New Roman" w:hAnsi="Times New Roman"/>
          <w:spacing w:val="10"/>
          <w:sz w:val="28"/>
          <w:szCs w:val="28"/>
          <w:lang w:eastAsia="uk-UA"/>
        </w:rPr>
        <w:t xml:space="preserve"> у висушеній соломі коноплі, що використовується у промислових цілях.</w:t>
      </w:r>
    </w:p>
    <w:p w:rsidR="00A40778" w:rsidRPr="00A40778" w:rsidRDefault="00A40778" w:rsidP="00A40778">
      <w:pPr>
        <w:tabs>
          <w:tab w:val="left" w:pos="32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b/>
          <w:sz w:val="28"/>
          <w:szCs w:val="28"/>
          <w:lang w:eastAsia="uk-UA"/>
        </w:rPr>
        <w:t>4.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У новій ч. 7, яку пропонується доповнити до ст. 7 Закону передбачається встановити, що «ліцензія на здійснення діяльності з обігу рослин роду коноплі для медичних та наукових цілей видається за наявності відповідної матеріально-технічної бази, нормативно-технічної документації, кваліфікованого персоналу». Зазначимо, що наявність відповідної матеріально-технічної бази, нормативно-технічної документації, кваліфікованого персоналу є одним з елементів ліцензійних умов, які крім цього, згідно з ч. 9 ст. 9 Закону України «Про ліцензування видів господарської діяльності», також включають організаційні, технологічні та спеціальні вимоги, передбачені законом.</w:t>
      </w: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n23"/>
      <w:bookmarkEnd w:id="12"/>
      <w:r w:rsidRPr="00A40778">
        <w:rPr>
          <w:rFonts w:ascii="Times New Roman" w:hAnsi="Times New Roman"/>
          <w:b/>
          <w:bCs/>
          <w:sz w:val="28"/>
          <w:szCs w:val="28"/>
        </w:rPr>
        <w:t>5.</w:t>
      </w:r>
      <w:r w:rsidRPr="00A40778">
        <w:rPr>
          <w:rFonts w:ascii="Times New Roman" w:hAnsi="Times New Roman"/>
          <w:sz w:val="28"/>
          <w:szCs w:val="28"/>
        </w:rPr>
        <w:t xml:space="preserve"> Звертаємо увагу на те, що деякі положення законопроекту не відповідають принципу правової визначеності. Відповідно до правової позиції </w:t>
      </w:r>
      <w:r w:rsidRPr="00A40778">
        <w:rPr>
          <w:rFonts w:ascii="Times New Roman" w:hAnsi="Times New Roman"/>
          <w:sz w:val="28"/>
          <w:szCs w:val="28"/>
        </w:rPr>
        <w:lastRenderedPageBreak/>
        <w:t xml:space="preserve">Конституційного Суду України принцип правової визначеності вимагає чіткості, </w:t>
      </w:r>
      <w:r w:rsidRPr="00A40778">
        <w:rPr>
          <w:rFonts w:ascii="Times New Roman" w:hAnsi="Times New Roman"/>
          <w:i/>
          <w:sz w:val="28"/>
          <w:szCs w:val="28"/>
        </w:rPr>
        <w:t>зрозумілості й однозначності</w:t>
      </w:r>
      <w:r w:rsidRPr="00A40778">
        <w:rPr>
          <w:rFonts w:ascii="Times New Roman" w:hAnsi="Times New Roman"/>
          <w:sz w:val="28"/>
          <w:szCs w:val="28"/>
        </w:rPr>
        <w:t xml:space="preserve"> правових норм, зокрема, їх </w:t>
      </w:r>
      <w:r w:rsidRPr="00A40778">
        <w:rPr>
          <w:rFonts w:ascii="Times New Roman" w:hAnsi="Times New Roman"/>
          <w:i/>
          <w:sz w:val="28"/>
          <w:szCs w:val="28"/>
        </w:rPr>
        <w:t>передбачуваності</w:t>
      </w:r>
      <w:r w:rsidRPr="00A40778">
        <w:rPr>
          <w:rFonts w:ascii="Times New Roman" w:hAnsi="Times New Roman"/>
          <w:sz w:val="28"/>
          <w:szCs w:val="28"/>
        </w:rPr>
        <w:t xml:space="preserve"> (прогнозованості) та стабільності (</w:t>
      </w:r>
      <w:proofErr w:type="spellStart"/>
      <w:r w:rsidRPr="00A40778">
        <w:rPr>
          <w:rFonts w:ascii="Times New Roman" w:hAnsi="Times New Roman"/>
          <w:sz w:val="28"/>
          <w:szCs w:val="28"/>
        </w:rPr>
        <w:t>абз</w:t>
      </w:r>
      <w:proofErr w:type="spellEnd"/>
      <w:r w:rsidRPr="00A40778">
        <w:rPr>
          <w:rFonts w:ascii="Times New Roman" w:hAnsi="Times New Roman"/>
          <w:sz w:val="28"/>
          <w:szCs w:val="28"/>
        </w:rPr>
        <w:t>. 6 п. 2.1 мотивувальної частини Рішення Великої палати Конституційного Суду України від 20.12.2017 № 2-р/2017), що в деяких новелах законопроекту не простежується.</w:t>
      </w:r>
    </w:p>
    <w:p w:rsidR="00A40778" w:rsidRPr="00A40778" w:rsidRDefault="00A40778" w:rsidP="00A40778">
      <w:pPr>
        <w:shd w:val="clear" w:color="auto" w:fill="FFFFFF"/>
        <w:tabs>
          <w:tab w:val="left" w:pos="82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40778">
        <w:rPr>
          <w:rFonts w:ascii="Times New Roman" w:hAnsi="Times New Roman"/>
          <w:sz w:val="28"/>
          <w:szCs w:val="28"/>
        </w:rPr>
        <w:t>Європейським судом з прав людини також неодноразово підкреслювалося, що закони мають відповідати встановленому Конвенцією про захист прав людини і основоположних свобод стандарту, який вимагає достатньо чіткого формулювання правових норм у тексті нормативно-правових актів. Зокрема, «закон має бути доступним для зацікавлених осіб та сформульованим з достатньою точністю для того, щоб надати їм можливість регулювати свою поведінку аби бути здатними – за потреби, за відповідної консультації – передбачати тією мірою, що є розумною за відповідних обставин, наслідки, які може потягнути за собою його дія» (рішення по справі «</w:t>
      </w:r>
      <w:proofErr w:type="spellStart"/>
      <w:r w:rsidRPr="00A40778">
        <w:rPr>
          <w:rFonts w:ascii="Times New Roman" w:hAnsi="Times New Roman"/>
          <w:sz w:val="28"/>
          <w:szCs w:val="28"/>
        </w:rPr>
        <w:t>Вєренцов</w:t>
      </w:r>
      <w:proofErr w:type="spellEnd"/>
      <w:r w:rsidRPr="00A40778">
        <w:rPr>
          <w:rFonts w:ascii="Times New Roman" w:hAnsi="Times New Roman"/>
          <w:sz w:val="28"/>
          <w:szCs w:val="28"/>
        </w:rPr>
        <w:t xml:space="preserve"> проти України» (Заява № 20372/11)</w:t>
      </w:r>
      <w:r w:rsidRPr="00A40778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A40778">
        <w:rPr>
          <w:rFonts w:ascii="Times New Roman" w:hAnsi="Times New Roman"/>
          <w:sz w:val="28"/>
          <w:szCs w:val="28"/>
        </w:rPr>
        <w:t>.</w:t>
      </w: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0778">
        <w:rPr>
          <w:rFonts w:ascii="Times New Roman" w:hAnsi="Times New Roman"/>
          <w:sz w:val="28"/>
          <w:szCs w:val="28"/>
        </w:rPr>
        <w:t>Зокрема, виникають запитання з приводу змісту припису нової ч. 3 ст. 14 Закону, згідно з якою «</w:t>
      </w:r>
      <w:r>
        <w:rPr>
          <w:rFonts w:ascii="Times New Roman" w:hAnsi="Times New Roman"/>
          <w:sz w:val="28"/>
          <w:szCs w:val="28"/>
        </w:rPr>
        <w:t>с</w:t>
      </w:r>
      <w:r w:rsidRPr="00A40778">
        <w:rPr>
          <w:rFonts w:ascii="Times New Roman" w:hAnsi="Times New Roman"/>
          <w:sz w:val="28"/>
          <w:szCs w:val="28"/>
        </w:rPr>
        <w:t xml:space="preserve">уб’єкт господарювання, який має ліцензію на здійснення господарської діяльності з обігу рослин роду коноплі для медичних та наукових цілей, </w:t>
      </w:r>
      <w:r w:rsidRPr="00A40778">
        <w:rPr>
          <w:rFonts w:ascii="Times New Roman" w:hAnsi="Times New Roman"/>
          <w:i/>
          <w:iCs/>
          <w:sz w:val="28"/>
          <w:szCs w:val="28"/>
        </w:rPr>
        <w:t>щорічно передає</w:t>
      </w:r>
      <w:r w:rsidRPr="00A40778">
        <w:rPr>
          <w:rFonts w:ascii="Times New Roman" w:hAnsi="Times New Roman"/>
          <w:sz w:val="28"/>
          <w:szCs w:val="28"/>
        </w:rPr>
        <w:t xml:space="preserve"> центральному органу виконавчої влади, що забезпечує формування та реалізує державну політику у сфері охорони здоров’я, </w:t>
      </w:r>
      <w:r w:rsidRPr="00A40778">
        <w:rPr>
          <w:rFonts w:ascii="Times New Roman" w:hAnsi="Times New Roman"/>
          <w:i/>
          <w:iCs/>
          <w:sz w:val="28"/>
          <w:szCs w:val="28"/>
        </w:rPr>
        <w:t>інформацію про результати своєї діяльності</w:t>
      </w:r>
      <w:r w:rsidRPr="00A40778">
        <w:rPr>
          <w:rFonts w:ascii="Times New Roman" w:hAnsi="Times New Roman"/>
          <w:sz w:val="28"/>
          <w:szCs w:val="28"/>
        </w:rPr>
        <w:t xml:space="preserve"> у Порядку, визначеному Кабінетом Міністрів України» (нова ч. 3 ст. 14 Закону). Адже аналіз законопроекту не дає чіткого розуміння, яку конкретно інформацію суб’єкт господарювання має щорічно передавати зазначеному вище державному органу. </w:t>
      </w: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0778">
        <w:rPr>
          <w:rFonts w:ascii="Times New Roman" w:hAnsi="Times New Roman"/>
          <w:b/>
          <w:sz w:val="28"/>
          <w:szCs w:val="28"/>
        </w:rPr>
        <w:t>6.</w:t>
      </w:r>
      <w:r w:rsidRPr="00A40778">
        <w:rPr>
          <w:rFonts w:ascii="Times New Roman" w:hAnsi="Times New Roman"/>
          <w:sz w:val="28"/>
          <w:szCs w:val="28"/>
        </w:rPr>
        <w:t xml:space="preserve"> Відповідно до ч. 3 нової редакції ст. 15 Закону «культивування рослин, включених до списку № 3 таблиці I Переліку, для промислових цілей, визначених ліцензією, здійснюється шляхом застосування кондиційного і </w:t>
      </w:r>
      <w:r w:rsidRPr="00A40778">
        <w:rPr>
          <w:rFonts w:ascii="Times New Roman" w:hAnsi="Times New Roman"/>
          <w:i/>
          <w:sz w:val="28"/>
          <w:szCs w:val="28"/>
        </w:rPr>
        <w:t>репродуктивного насіння</w:t>
      </w:r>
      <w:r w:rsidRPr="00A40778">
        <w:rPr>
          <w:rFonts w:ascii="Times New Roman" w:hAnsi="Times New Roman"/>
          <w:sz w:val="28"/>
          <w:szCs w:val="28"/>
        </w:rPr>
        <w:t xml:space="preserve">». Однак звертаємо увагу, що Законом України </w:t>
      </w:r>
      <w:r>
        <w:rPr>
          <w:rFonts w:ascii="Times New Roman" w:hAnsi="Times New Roman"/>
          <w:sz w:val="28"/>
          <w:szCs w:val="28"/>
        </w:rPr>
        <w:br/>
      </w:r>
      <w:r w:rsidRPr="00A40778">
        <w:rPr>
          <w:rFonts w:ascii="Times New Roman" w:hAnsi="Times New Roman"/>
          <w:sz w:val="28"/>
          <w:szCs w:val="28"/>
        </w:rPr>
        <w:t>«Про насіння і садивний матеріал», який є базовим у відповідній сфері, що «</w:t>
      </w:r>
      <w:r w:rsidRPr="00A40778">
        <w:rPr>
          <w:rFonts w:ascii="Times New Roman" w:hAnsi="Times New Roman"/>
          <w:sz w:val="28"/>
          <w:szCs w:val="28"/>
          <w:shd w:val="clear" w:color="auto" w:fill="FFFFFF"/>
        </w:rPr>
        <w:t xml:space="preserve">визначає основні засади виробництва та обігу насіння і садивного матеріалу …» (преамбула цього Закону), </w:t>
      </w:r>
      <w:r w:rsidRPr="00A40778">
        <w:rPr>
          <w:rFonts w:ascii="Times New Roman" w:hAnsi="Times New Roman"/>
          <w:sz w:val="28"/>
          <w:szCs w:val="28"/>
        </w:rPr>
        <w:t>не передбачене «</w:t>
      </w:r>
      <w:r w:rsidRPr="00A40778">
        <w:rPr>
          <w:rFonts w:ascii="Times New Roman" w:hAnsi="Times New Roman"/>
          <w:i/>
          <w:sz w:val="28"/>
          <w:szCs w:val="28"/>
        </w:rPr>
        <w:t>репродуктивне насіння</w:t>
      </w:r>
      <w:r w:rsidRPr="00A40778">
        <w:rPr>
          <w:rFonts w:ascii="Times New Roman" w:hAnsi="Times New Roman"/>
          <w:sz w:val="28"/>
          <w:szCs w:val="28"/>
        </w:rPr>
        <w:t>». Аналогічне зауваження є актуальним і щодо п. «а» ч. 1 нової ст. 15</w:t>
      </w:r>
      <w:r w:rsidRPr="00A40778">
        <w:rPr>
          <w:rFonts w:ascii="Times New Roman" w:hAnsi="Times New Roman"/>
          <w:sz w:val="28"/>
          <w:szCs w:val="28"/>
          <w:vertAlign w:val="superscript"/>
        </w:rPr>
        <w:t>1</w:t>
      </w:r>
      <w:r w:rsidRPr="00A40778">
        <w:rPr>
          <w:rFonts w:ascii="Times New Roman" w:hAnsi="Times New Roman"/>
          <w:sz w:val="28"/>
          <w:szCs w:val="28"/>
        </w:rPr>
        <w:t xml:space="preserve"> Закону.</w:t>
      </w:r>
    </w:p>
    <w:bookmarkEnd w:id="1"/>
    <w:bookmarkEnd w:id="2"/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7.</w:t>
      </w:r>
      <w:r w:rsidRPr="00A407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Відповідно до чинної редакції ч. 1 ст. 22 Закону х</w:t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ворий, який прямує транзитом через територію України, може перевозити з метою власного лікування наркотичні засоби і психотропні речовини, включені до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br/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таблиць II і III Переліку, відповідно до </w:t>
      </w:r>
      <w:r w:rsidRPr="00A4077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uk-UA"/>
        </w:rPr>
        <w:t>порядку, встановленого Кабінетом Міністрів України</w:t>
      </w:r>
      <w:r w:rsidRPr="00A407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40778" w:rsidRPr="008324D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Пропонованою новою редакцією ч. 1 ст. 22 Закону передбачається встановити, що «х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ворий, який прямує транзитом через територію України, може перевозити з метою власного лікування наркотичні засоби і психотропні речовини, включені до 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>таблиць II і III Переліку, а також лікарські засоби</w:t>
      </w:r>
      <w:r w:rsidRPr="008324D8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>вироблені з рослин коноплі</w:t>
      </w:r>
      <w:r w:rsidRPr="008324D8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для медичних та наукових цілей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>, відповідно до порядку, встановленого Кабінетом Міністрів України».</w:t>
      </w:r>
      <w:r w:rsidRPr="008324D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4D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lastRenderedPageBreak/>
        <w:t xml:space="preserve">На нашу думку, 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запропонована новела, по-перше, 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дозволяє її тлумачення в широкому значенні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24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 тому допускає виведення з-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 державного контролю транзитне перевезення зазначених вище лікарських засобів</w:t>
      </w:r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містять </w:t>
      </w:r>
      <w:proofErr w:type="spellStart"/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>психоактивну</w:t>
      </w:r>
      <w:proofErr w:type="spellEnd"/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 xml:space="preserve"> речовину </w:t>
      </w:r>
      <w:proofErr w:type="spellStart"/>
      <w:r w:rsidRPr="008324D8">
        <w:rPr>
          <w:rFonts w:ascii="Times New Roman" w:eastAsia="Times New Roman" w:hAnsi="Times New Roman"/>
          <w:sz w:val="28"/>
          <w:szCs w:val="28"/>
          <w:lang w:eastAsia="uk-UA"/>
        </w:rPr>
        <w:t>тетрагідроканабінол</w:t>
      </w:r>
      <w:proofErr w:type="spellEnd"/>
      <w:r w:rsidRPr="008324D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footnoteReference w:id="10"/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407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що 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не узгоджується з принципами державної політики у сфері обігу наркотичних засобів, психотропних речовин і прекурсорів, що відповідно до ч. 1 ст. 4 Закону спрямовується на</w:t>
      </w:r>
      <w:bookmarkStart w:id="13" w:name="n55"/>
      <w:bookmarkEnd w:id="13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4" w:name="n56"/>
      <w:bookmarkEnd w:id="14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встановлення державного контролю за обігом в Україні наркотичних засобів, психотропних речовин і прекурсорів та додержанням законодавства про наркотичні засоби, психотропні речовини і прекурсори.                   По-друге, допускає корупційні ризики, зокрема, через недостатню визначеність «цілей»</w:t>
      </w:r>
      <w:r w:rsidRPr="00A40778">
        <w:rPr>
          <w:rFonts w:ascii="Times New Roman" w:eastAsia="Times New Roman" w:hAnsi="Times New Roman"/>
          <w:sz w:val="28"/>
          <w:szCs w:val="28"/>
          <w:lang w:eastAsia="uk-UA"/>
        </w:rPr>
        <w:t xml:space="preserve"> транзитного перевезення через територію України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зазначених вище лікарських засобів.</w:t>
      </w:r>
    </w:p>
    <w:p w:rsidR="00A40778" w:rsidRPr="00A40778" w:rsidRDefault="00A40778" w:rsidP="00A4077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Виглядає некоректним з юридичної точки зору доручення, яке в п</w:t>
      </w:r>
      <w:r w:rsidRPr="00A407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7 розділу 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II «Прикінцеві та перехідні положення»</w:t>
      </w:r>
      <w:r w:rsidRPr="00A40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проекту Закону дається </w:t>
      </w:r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>Кабінету Міністрів України: «у тримісячний строк з дня опублікування цього Закону: ... подати на розгляд Верховної Ради України пропозиції щодо приведення законів України у відповідність із цим Законом».</w:t>
      </w:r>
      <w:bookmarkStart w:id="15" w:name="_Hlk72830731"/>
      <w:r w:rsidRPr="00A40778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Зазначене не відповідає вимогам ч. 8 ст. 90 Регламенту Верховної Ради України, відповідно до якої, «якщо для реалізації положень поданого законопроекту після його прийняття необхідні зміни до інших законів, такі зміни мають викладатися в розділі «Перехідні положення» цього законопроекту або в одночасно внесеному його ініціатором окремому законопроекті. До законопроекту додається перелік законів та інших нормативних актів, прийняття або перегляд яких необхідно здійснити для реалізації положень законопроекту в разі його прийняття».</w:t>
      </w:r>
      <w:bookmarkEnd w:id="15"/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0778">
        <w:rPr>
          <w:rFonts w:ascii="Times New Roman" w:hAnsi="Times New Roman"/>
          <w:b/>
          <w:bCs/>
          <w:sz w:val="28"/>
          <w:szCs w:val="28"/>
        </w:rPr>
        <w:t>9.</w:t>
      </w:r>
      <w:r w:rsidRPr="00A40778">
        <w:rPr>
          <w:rFonts w:ascii="Times New Roman" w:hAnsi="Times New Roman"/>
          <w:sz w:val="28"/>
          <w:szCs w:val="28"/>
        </w:rPr>
        <w:t xml:space="preserve"> Звертаємо також увагу на те, що згідно з вимогами законодавчої техніки </w:t>
      </w:r>
      <w:r w:rsidRPr="00A40778">
        <w:rPr>
          <w:rFonts w:ascii="Times New Roman" w:hAnsi="Times New Roman"/>
          <w:iCs/>
          <w:sz w:val="28"/>
          <w:szCs w:val="28"/>
        </w:rPr>
        <w:t xml:space="preserve">перехідні </w:t>
      </w:r>
      <w:r w:rsidRPr="00A40778">
        <w:rPr>
          <w:rFonts w:ascii="Times New Roman" w:hAnsi="Times New Roman"/>
          <w:sz w:val="28"/>
          <w:szCs w:val="28"/>
        </w:rPr>
        <w:t xml:space="preserve">положення законопроекту застосовуються у разі, якщо потрібно врегулювати відносини, пов’язані з переходом від існуючого правового регулювання до бажаного, того, яке має запроваджуватися з прийняттям нового закону. Перехідні положення </w:t>
      </w:r>
      <w:r w:rsidRPr="00A40778">
        <w:rPr>
          <w:rFonts w:ascii="Times New Roman" w:hAnsi="Times New Roman"/>
          <w:i/>
          <w:iCs/>
          <w:sz w:val="28"/>
          <w:szCs w:val="28"/>
        </w:rPr>
        <w:t>не можуть міститися в законопроектах про внесення змін до інших законів</w:t>
      </w:r>
      <w:r w:rsidRPr="00A40778">
        <w:rPr>
          <w:rFonts w:ascii="Times New Roman" w:hAnsi="Times New Roman"/>
          <w:sz w:val="28"/>
          <w:szCs w:val="28"/>
        </w:rPr>
        <w:t>. З огляду на зазначене, назва розділу ІІ законопроекту потребує внесення відповідних змін.</w:t>
      </w:r>
    </w:p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40778" w:rsidRPr="00A40778" w:rsidRDefault="00A40778" w:rsidP="00A40778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Hlk534989539"/>
      <w:bookmarkEnd w:id="16"/>
      <w:r w:rsidRPr="00A40778">
        <w:rPr>
          <w:rFonts w:ascii="Times New Roman" w:hAnsi="Times New Roman"/>
          <w:sz w:val="28"/>
          <w:szCs w:val="28"/>
        </w:rPr>
        <w:t>Керівник Голо</w:t>
      </w:r>
      <w:r>
        <w:rPr>
          <w:rFonts w:ascii="Times New Roman" w:hAnsi="Times New Roman"/>
          <w:sz w:val="28"/>
          <w:szCs w:val="28"/>
        </w:rPr>
        <w:t xml:space="preserve">вного управління             </w:t>
      </w:r>
      <w:r w:rsidRPr="00A40778">
        <w:rPr>
          <w:rFonts w:ascii="Times New Roman" w:hAnsi="Times New Roman"/>
          <w:sz w:val="28"/>
          <w:szCs w:val="28"/>
        </w:rPr>
        <w:t xml:space="preserve">                                     С. Тихонюк</w:t>
      </w: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0"/>
          <w:szCs w:val="20"/>
        </w:rPr>
      </w:pPr>
      <w:bookmarkStart w:id="17" w:name="_Hlk69315057"/>
      <w:proofErr w:type="spellStart"/>
      <w:r w:rsidRPr="00A40778">
        <w:rPr>
          <w:rFonts w:ascii="Times New Roman" w:hAnsi="Times New Roman"/>
          <w:sz w:val="20"/>
          <w:szCs w:val="20"/>
        </w:rPr>
        <w:t>Вик</w:t>
      </w:r>
      <w:proofErr w:type="spellEnd"/>
      <w:r w:rsidRPr="00A40778">
        <w:rPr>
          <w:rFonts w:ascii="Times New Roman" w:hAnsi="Times New Roman"/>
          <w:sz w:val="20"/>
          <w:szCs w:val="20"/>
        </w:rPr>
        <w:t>.: К. Вербицький</w:t>
      </w:r>
      <w:r w:rsidRPr="00A40778">
        <w:rPr>
          <w:rFonts w:ascii="Times New Roman" w:hAnsi="Times New Roman"/>
          <w:sz w:val="20"/>
          <w:szCs w:val="20"/>
          <w:lang w:val="ru-RU"/>
        </w:rPr>
        <w:t>,</w:t>
      </w:r>
      <w:r w:rsidRPr="00A40778">
        <w:rPr>
          <w:rFonts w:ascii="Times New Roman" w:hAnsi="Times New Roman"/>
          <w:sz w:val="20"/>
          <w:szCs w:val="20"/>
        </w:rPr>
        <w:t xml:space="preserve"> </w:t>
      </w:r>
      <w:bookmarkEnd w:id="17"/>
      <w:r w:rsidRPr="00A40778">
        <w:rPr>
          <w:rFonts w:ascii="Times New Roman" w:eastAsia="Times New Roman" w:hAnsi="Times New Roman"/>
          <w:bCs/>
          <w:color w:val="000000"/>
          <w:sz w:val="20"/>
          <w:szCs w:val="20"/>
          <w:lang w:eastAsia="uk-UA"/>
        </w:rPr>
        <w:t>Е. Вальковський</w:t>
      </w:r>
      <w:r w:rsidRPr="00A40778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uk-UA"/>
        </w:rPr>
        <w:t>,</w:t>
      </w:r>
      <w:r w:rsidRPr="00A40778">
        <w:rPr>
          <w:rFonts w:ascii="Times New Roman" w:hAnsi="Times New Roman"/>
          <w:sz w:val="20"/>
          <w:szCs w:val="20"/>
        </w:rPr>
        <w:t xml:space="preserve"> М. Муравська</w:t>
      </w:r>
    </w:p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40778" w:rsidRPr="00BA3FFA" w:rsidRDefault="00A40778" w:rsidP="00A40778">
      <w:pPr>
        <w:jc w:val="both"/>
        <w:rPr>
          <w:rFonts w:ascii="Times New Roman" w:hAnsi="Times New Roman"/>
          <w:sz w:val="28"/>
        </w:rPr>
      </w:pPr>
    </w:p>
    <w:sectPr w:rsidR="00A40778" w:rsidRPr="00BA3FF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51" w:rsidRDefault="00590F51">
      <w:r>
        <w:separator/>
      </w:r>
    </w:p>
  </w:endnote>
  <w:endnote w:type="continuationSeparator" w:id="0">
    <w:p w:rsidR="00590F51" w:rsidRDefault="005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51" w:rsidRDefault="00590F51">
      <w:r>
        <w:separator/>
      </w:r>
    </w:p>
  </w:footnote>
  <w:footnote w:type="continuationSeparator" w:id="0">
    <w:p w:rsidR="00590F51" w:rsidRDefault="00590F51">
      <w:r>
        <w:continuationSeparator/>
      </w:r>
    </w:p>
  </w:footnote>
  <w:footnote w:id="1">
    <w:p w:rsidR="00A40778" w:rsidRPr="0099139A" w:rsidRDefault="00A40778" w:rsidP="00A40778">
      <w:pPr>
        <w:pStyle w:val="a7"/>
        <w:rPr>
          <w:rFonts w:ascii="Times New Roman" w:hAnsi="Times New Roman"/>
        </w:rPr>
      </w:pPr>
      <w:r w:rsidRPr="0099139A">
        <w:rPr>
          <w:rStyle w:val="a9"/>
          <w:rFonts w:ascii="Times New Roman" w:hAnsi="Times New Roman"/>
        </w:rPr>
        <w:footnoteRef/>
      </w:r>
      <w:r w:rsidRPr="0099139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99139A">
        <w:rPr>
          <w:rFonts w:ascii="Times New Roman" w:hAnsi="Times New Roman"/>
          <w:lang w:val="en-US"/>
        </w:rPr>
        <w:t xml:space="preserve">: </w:t>
      </w:r>
      <w:r w:rsidRPr="0099139A">
        <w:rPr>
          <w:rFonts w:ascii="Times New Roman" w:hAnsi="Times New Roman"/>
        </w:rPr>
        <w:t>https://zakon.rada.gov.ua/laws/show/995_177#Text</w:t>
      </w:r>
    </w:p>
  </w:footnote>
  <w:footnote w:id="2">
    <w:p w:rsidR="00A40778" w:rsidRPr="00CD3513" w:rsidRDefault="00A40778" w:rsidP="00AD4C1A">
      <w:pPr>
        <w:pStyle w:val="a7"/>
        <w:jc w:val="both"/>
        <w:rPr>
          <w:rFonts w:ascii="Times New Roman" w:hAnsi="Times New Roman"/>
          <w:lang w:val="ru-RU"/>
        </w:rPr>
      </w:pPr>
      <w:r w:rsidRPr="00E11C86">
        <w:rPr>
          <w:rStyle w:val="a9"/>
          <w:rFonts w:ascii="Times New Roman" w:hAnsi="Times New Roman"/>
        </w:rPr>
        <w:footnoteRef/>
      </w:r>
      <w:r w:rsidRPr="00E11C86">
        <w:rPr>
          <w:rFonts w:ascii="Times New Roman" w:hAnsi="Times New Roman"/>
        </w:rPr>
        <w:t xml:space="preserve"> </w:t>
      </w:r>
      <w:r w:rsidRPr="00CD3513">
        <w:rPr>
          <w:rFonts w:ascii="Times New Roman" w:hAnsi="Times New Roman"/>
          <w:lang w:val="ru-RU"/>
        </w:rPr>
        <w:t xml:space="preserve">60 лет Единой конвенции о наркотических средствах 1961 года «...заключить </w:t>
      </w:r>
      <w:proofErr w:type="spellStart"/>
      <w:r w:rsidRPr="00CD3513">
        <w:rPr>
          <w:rFonts w:ascii="Times New Roman" w:hAnsi="Times New Roman"/>
          <w:lang w:val="ru-RU"/>
        </w:rPr>
        <w:t>общеприемлемую</w:t>
      </w:r>
      <w:proofErr w:type="spellEnd"/>
      <w:r w:rsidRPr="00CD3513">
        <w:rPr>
          <w:rFonts w:ascii="Times New Roman" w:hAnsi="Times New Roman"/>
          <w:lang w:val="ru-RU"/>
        </w:rPr>
        <w:t xml:space="preserve"> международную конвенцию...» и 50 лет Конвенции о психотропных веществах 1971 года «...необходима международная конвенция...» – Вена: ООН, 2021. – (Международный комитет по контролю над наркотиками). – С.15.</w:t>
      </w:r>
    </w:p>
  </w:footnote>
  <w:footnote w:id="3">
    <w:p w:rsidR="00A40778" w:rsidRPr="00E11C86" w:rsidRDefault="00A40778" w:rsidP="00A40778">
      <w:pPr>
        <w:pStyle w:val="a7"/>
        <w:rPr>
          <w:rFonts w:ascii="Times New Roman" w:hAnsi="Times New Roman"/>
        </w:rPr>
      </w:pPr>
      <w:r w:rsidRPr="00E11C86">
        <w:rPr>
          <w:rStyle w:val="a9"/>
          <w:rFonts w:ascii="Times New Roman" w:hAnsi="Times New Roman"/>
        </w:rPr>
        <w:footnoteRef/>
      </w:r>
      <w:r w:rsidRPr="00E11C86">
        <w:rPr>
          <w:rFonts w:ascii="Times New Roman" w:hAnsi="Times New Roman"/>
          <w:lang w:val="en-US"/>
        </w:rPr>
        <w:t xml:space="preserve"> URL:</w:t>
      </w:r>
      <w:r w:rsidRPr="00E11C86">
        <w:rPr>
          <w:rFonts w:ascii="Times New Roman" w:hAnsi="Times New Roman"/>
        </w:rPr>
        <w:t xml:space="preserve"> https://zakon.rada.gov.ua/laws/show/995_096#Text</w:t>
      </w:r>
    </w:p>
  </w:footnote>
  <w:footnote w:id="4">
    <w:p w:rsidR="00A40778" w:rsidRPr="00E11C86" w:rsidRDefault="00A40778" w:rsidP="00A40778">
      <w:pPr>
        <w:pStyle w:val="a7"/>
        <w:rPr>
          <w:rFonts w:ascii="Times New Roman" w:hAnsi="Times New Roman"/>
        </w:rPr>
      </w:pPr>
      <w:r w:rsidRPr="00E11C86">
        <w:rPr>
          <w:rStyle w:val="a9"/>
          <w:rFonts w:ascii="Times New Roman" w:hAnsi="Times New Roman"/>
        </w:rPr>
        <w:footnoteRef/>
      </w:r>
      <w:r w:rsidRPr="00E11C86">
        <w:rPr>
          <w:rFonts w:ascii="Times New Roman" w:hAnsi="Times New Roman"/>
        </w:rPr>
        <w:t xml:space="preserve"> </w:t>
      </w:r>
      <w:r w:rsidRPr="00E11C86">
        <w:rPr>
          <w:rFonts w:ascii="Times New Roman" w:hAnsi="Times New Roman"/>
          <w:lang w:val="en-US"/>
        </w:rPr>
        <w:t xml:space="preserve">URL: </w:t>
      </w:r>
      <w:r w:rsidRPr="00E11C86">
        <w:rPr>
          <w:rFonts w:ascii="Times New Roman" w:hAnsi="Times New Roman"/>
        </w:rPr>
        <w:t>https://zakon.rada.gov.ua/laws/show/995_176#Text</w:t>
      </w:r>
    </w:p>
  </w:footnote>
  <w:footnote w:id="5">
    <w:p w:rsidR="00A40778" w:rsidRPr="00006043" w:rsidRDefault="00A40778" w:rsidP="00A40778">
      <w:pPr>
        <w:pStyle w:val="Style5"/>
        <w:widowControl/>
        <w:spacing w:line="240" w:lineRule="auto"/>
        <w:ind w:firstLine="709"/>
        <w:rPr>
          <w:color w:val="000000"/>
          <w:sz w:val="20"/>
          <w:szCs w:val="20"/>
        </w:rPr>
      </w:pPr>
      <w:r w:rsidRPr="00E11C86">
        <w:rPr>
          <w:rStyle w:val="a9"/>
          <w:sz w:val="20"/>
          <w:szCs w:val="20"/>
        </w:rPr>
        <w:footnoteRef/>
      </w:r>
      <w:r w:rsidRPr="00E11C86">
        <w:rPr>
          <w:rStyle w:val="ac"/>
          <w:color w:val="000000"/>
          <w:sz w:val="20"/>
          <w:szCs w:val="20"/>
          <w:lang w:val="ru-RU"/>
        </w:rPr>
        <w:t xml:space="preserve"> </w:t>
      </w:r>
      <w:r w:rsidRPr="00006043">
        <w:rPr>
          <w:rStyle w:val="ac"/>
          <w:color w:val="000000"/>
          <w:sz w:val="20"/>
          <w:szCs w:val="20"/>
        </w:rPr>
        <w:t>Наприклад, д</w:t>
      </w:r>
      <w:r w:rsidRPr="00006043">
        <w:rPr>
          <w:color w:val="000000"/>
          <w:sz w:val="20"/>
          <w:szCs w:val="20"/>
        </w:rPr>
        <w:t xml:space="preserve">еякі дослідження </w:t>
      </w:r>
      <w:hyperlink r:id="rId1" w:tgtFrame="_blank" w:history="1">
        <w:r w:rsidRPr="00006043">
          <w:rPr>
            <w:rStyle w:val="ab"/>
            <w:color w:val="111111"/>
            <w:sz w:val="20"/>
            <w:szCs w:val="20"/>
          </w:rPr>
          <w:t>вказують</w:t>
        </w:r>
      </w:hyperlink>
      <w:r w:rsidRPr="00006043">
        <w:rPr>
          <w:color w:val="000000"/>
          <w:sz w:val="20"/>
          <w:szCs w:val="20"/>
        </w:rPr>
        <w:t xml:space="preserve"> на те, що підлітки, які зловживали марихуаною, мали зниження інтелекту на 6-8 пунктів під час проходження тестів на визначення IQ// </w:t>
      </w:r>
      <w:r w:rsidRPr="00006043">
        <w:rPr>
          <w:sz w:val="20"/>
          <w:szCs w:val="20"/>
        </w:rPr>
        <w:t xml:space="preserve">URL:  </w:t>
      </w:r>
      <w:hyperlink r:id="rId2" w:history="1">
        <w:r w:rsidRPr="00006043">
          <w:rPr>
            <w:color w:val="000000"/>
            <w:sz w:val="20"/>
            <w:szCs w:val="20"/>
          </w:rPr>
          <w:t>https://life.pravda.com.ua/health/2019/02/22/235748/</w:t>
        </w:r>
      </w:hyperlink>
    </w:p>
  </w:footnote>
  <w:footnote w:id="6">
    <w:p w:rsidR="00A40778" w:rsidRPr="00006043" w:rsidRDefault="00A40778" w:rsidP="00AD4C1A">
      <w:pPr>
        <w:pStyle w:val="a7"/>
        <w:jc w:val="both"/>
        <w:rPr>
          <w:rFonts w:ascii="Times New Roman" w:hAnsi="Times New Roman"/>
          <w:lang w:val="ru-RU"/>
        </w:rPr>
      </w:pPr>
      <w:r w:rsidRPr="00006043">
        <w:rPr>
          <w:rStyle w:val="a9"/>
          <w:rFonts w:ascii="Times New Roman" w:hAnsi="Times New Roman"/>
          <w:lang w:val="ru-RU"/>
        </w:rPr>
        <w:footnoteRef/>
      </w:r>
      <w:r w:rsidRPr="00006043">
        <w:rPr>
          <w:rFonts w:ascii="Times New Roman" w:hAnsi="Times New Roman"/>
          <w:lang w:val="ru-RU"/>
        </w:rPr>
        <w:t xml:space="preserve"> 60 лет Единой конвенции о наркотических средствах 1961 года «...заключить </w:t>
      </w:r>
      <w:proofErr w:type="spellStart"/>
      <w:r w:rsidRPr="00006043">
        <w:rPr>
          <w:rFonts w:ascii="Times New Roman" w:hAnsi="Times New Roman"/>
          <w:lang w:val="ru-RU"/>
        </w:rPr>
        <w:t>общеприемлемую</w:t>
      </w:r>
      <w:proofErr w:type="spellEnd"/>
      <w:r w:rsidRPr="00006043">
        <w:rPr>
          <w:rFonts w:ascii="Times New Roman" w:hAnsi="Times New Roman"/>
          <w:lang w:val="ru-RU"/>
        </w:rPr>
        <w:t xml:space="preserve"> международную конвенцию...» и 50 лет Конвенции о психотропных веществах 1971 года «...необходима международная конвенция...» – Вена: ООН, 2021. – (Международный комитет по контролю над наркотиками). – С. 29.</w:t>
      </w:r>
    </w:p>
  </w:footnote>
  <w:footnote w:id="7">
    <w:p w:rsidR="00A40778" w:rsidRPr="00E11C86" w:rsidRDefault="00A40778" w:rsidP="00A40778">
      <w:pPr>
        <w:pStyle w:val="a7"/>
        <w:rPr>
          <w:rFonts w:ascii="Times New Roman" w:hAnsi="Times New Roman"/>
        </w:rPr>
      </w:pPr>
      <w:r w:rsidRPr="00006043">
        <w:rPr>
          <w:rStyle w:val="a9"/>
          <w:rFonts w:ascii="Times New Roman" w:hAnsi="Times New Roman"/>
        </w:rPr>
        <w:footnoteRef/>
      </w:r>
      <w:r w:rsidRPr="00006043">
        <w:rPr>
          <w:rFonts w:ascii="Times New Roman" w:hAnsi="Times New Roman"/>
        </w:rPr>
        <w:t xml:space="preserve"> </w:t>
      </w:r>
      <w:r w:rsidRPr="00006043">
        <w:rPr>
          <w:rFonts w:ascii="Times New Roman" w:hAnsi="Times New Roman"/>
          <w:lang w:val="en-US"/>
        </w:rPr>
        <w:t xml:space="preserve">URL: </w:t>
      </w:r>
      <w:r w:rsidRPr="00006043">
        <w:rPr>
          <w:rFonts w:ascii="Times New Roman" w:hAnsi="Times New Roman"/>
        </w:rPr>
        <w:t>https://news.un.org/ru/story/2020/12/1391702</w:t>
      </w:r>
      <w:bookmarkStart w:id="9" w:name="_GoBack"/>
      <w:bookmarkEnd w:id="9"/>
    </w:p>
  </w:footnote>
  <w:footnote w:id="8">
    <w:p w:rsidR="00A40778" w:rsidRPr="00EA48E9" w:rsidRDefault="00A40778" w:rsidP="00A40778">
      <w:pPr>
        <w:pStyle w:val="a7"/>
        <w:rPr>
          <w:rFonts w:ascii="Times New Roman" w:hAnsi="Times New Roman"/>
        </w:rPr>
      </w:pPr>
      <w:r w:rsidRPr="00EA48E9">
        <w:rPr>
          <w:rStyle w:val="a9"/>
          <w:rFonts w:ascii="Times New Roman" w:hAnsi="Times New Roman"/>
        </w:rPr>
        <w:footnoteRef/>
      </w:r>
      <w:r w:rsidRPr="00EA48E9">
        <w:rPr>
          <w:rFonts w:ascii="Times New Roman" w:hAnsi="Times New Roman"/>
        </w:rPr>
        <w:t xml:space="preserve"> </w:t>
      </w:r>
      <w:proofErr w:type="spellStart"/>
      <w:r w:rsidRPr="00EA48E9">
        <w:rPr>
          <w:rFonts w:ascii="Times New Roman" w:hAnsi="Times New Roman"/>
        </w:rPr>
        <w:t>Алєкперова</w:t>
      </w:r>
      <w:proofErr w:type="spellEnd"/>
      <w:r w:rsidRPr="00EA48E9">
        <w:rPr>
          <w:rFonts w:ascii="Times New Roman" w:hAnsi="Times New Roman"/>
        </w:rPr>
        <w:t xml:space="preserve"> Н. В., </w:t>
      </w:r>
      <w:proofErr w:type="spellStart"/>
      <w:r w:rsidRPr="00EA48E9">
        <w:rPr>
          <w:rFonts w:ascii="Times New Roman" w:hAnsi="Times New Roman"/>
        </w:rPr>
        <w:t>Косяченко</w:t>
      </w:r>
      <w:proofErr w:type="spellEnd"/>
      <w:r w:rsidRPr="00EA48E9">
        <w:rPr>
          <w:rFonts w:ascii="Times New Roman" w:hAnsi="Times New Roman"/>
        </w:rPr>
        <w:t xml:space="preserve"> К. Л., Усенко В. О. Огляд світового ринку </w:t>
      </w:r>
      <w:proofErr w:type="spellStart"/>
      <w:r w:rsidRPr="00EA48E9">
        <w:rPr>
          <w:rFonts w:ascii="Times New Roman" w:hAnsi="Times New Roman"/>
        </w:rPr>
        <w:t>канабісу</w:t>
      </w:r>
      <w:proofErr w:type="spellEnd"/>
      <w:r w:rsidRPr="00EA48E9">
        <w:rPr>
          <w:rFonts w:ascii="Times New Roman" w:hAnsi="Times New Roman"/>
        </w:rPr>
        <w:t xml:space="preserve"> та </w:t>
      </w:r>
      <w:proofErr w:type="spellStart"/>
      <w:r w:rsidRPr="00EA48E9">
        <w:rPr>
          <w:rFonts w:ascii="Times New Roman" w:hAnsi="Times New Roman"/>
        </w:rPr>
        <w:t>канабіодів</w:t>
      </w:r>
      <w:proofErr w:type="spellEnd"/>
      <w:r w:rsidRPr="00EA48E9">
        <w:rPr>
          <w:rFonts w:ascii="Times New Roman" w:hAnsi="Times New Roman"/>
        </w:rPr>
        <w:t xml:space="preserve"> для медичних цілей та перспективи його розвитку в Україні// http://ir.librarynmu.com/bitstream/</w:t>
      </w:r>
    </w:p>
  </w:footnote>
  <w:footnote w:id="9">
    <w:p w:rsidR="00A40778" w:rsidRPr="00E11C86" w:rsidRDefault="00A40778" w:rsidP="00A40778">
      <w:pPr>
        <w:pStyle w:val="a7"/>
        <w:rPr>
          <w:rFonts w:ascii="Times New Roman" w:hAnsi="Times New Roman"/>
        </w:rPr>
      </w:pPr>
      <w:r w:rsidRPr="00E11C86">
        <w:rPr>
          <w:rStyle w:val="a9"/>
          <w:rFonts w:ascii="Times New Roman" w:hAnsi="Times New Roman"/>
        </w:rPr>
        <w:footnoteRef/>
      </w:r>
      <w:r w:rsidRPr="00E11C86">
        <w:rPr>
          <w:rFonts w:ascii="Times New Roman" w:hAnsi="Times New Roman"/>
          <w:lang w:val="en-US"/>
        </w:rPr>
        <w:t xml:space="preserve"> URL: https://zakon.rada.gov.ua/laws/show/974_945#Text</w:t>
      </w:r>
    </w:p>
  </w:footnote>
  <w:footnote w:id="10">
    <w:p w:rsidR="00A40778" w:rsidRPr="00A40778" w:rsidRDefault="00A40778" w:rsidP="00A4077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40778">
        <w:rPr>
          <w:rStyle w:val="a9"/>
          <w:rFonts w:ascii="Times New Roman" w:hAnsi="Times New Roman"/>
          <w:sz w:val="20"/>
          <w:szCs w:val="20"/>
        </w:rPr>
        <w:footnoteRef/>
      </w:r>
      <w:r w:rsidRPr="00A40778">
        <w:rPr>
          <w:rFonts w:ascii="Times New Roman" w:hAnsi="Times New Roman"/>
          <w:sz w:val="20"/>
          <w:szCs w:val="20"/>
        </w:rPr>
        <w:t xml:space="preserve"> Згідно з проектом Закону «рослини коноплі для медичних та наукових цілей –  рослини будь-якого роду </w:t>
      </w:r>
      <w:proofErr w:type="spellStart"/>
      <w:r w:rsidRPr="00A40778">
        <w:rPr>
          <w:rFonts w:ascii="Times New Roman" w:hAnsi="Times New Roman"/>
          <w:sz w:val="20"/>
          <w:szCs w:val="20"/>
        </w:rPr>
        <w:t>канабіс</w:t>
      </w:r>
      <w:proofErr w:type="spellEnd"/>
      <w:r w:rsidRPr="00A40778">
        <w:rPr>
          <w:rFonts w:ascii="Times New Roman" w:hAnsi="Times New Roman"/>
          <w:sz w:val="20"/>
          <w:szCs w:val="20"/>
        </w:rPr>
        <w:t xml:space="preserve">, у сухій масі яких вміст </w:t>
      </w:r>
      <w:proofErr w:type="spellStart"/>
      <w:r w:rsidRPr="00A40778">
        <w:rPr>
          <w:rFonts w:ascii="Times New Roman" w:hAnsi="Times New Roman"/>
          <w:sz w:val="20"/>
          <w:szCs w:val="20"/>
        </w:rPr>
        <w:t>тетрагідроканабінолу</w:t>
      </w:r>
      <w:proofErr w:type="spellEnd"/>
      <w:r w:rsidRPr="00A40778">
        <w:rPr>
          <w:rFonts w:ascii="Times New Roman" w:hAnsi="Times New Roman"/>
          <w:sz w:val="20"/>
          <w:szCs w:val="20"/>
        </w:rPr>
        <w:t xml:space="preserve"> перевищує 0,3 відсотка» (зміни до ст. 1 Закону).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EF" w:rsidRDefault="007875B1">
    <w:pPr>
      <w:pStyle w:val="a3"/>
      <w:jc w:val="center"/>
      <w:rPr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006043" w:rsidRPr="00006043">
      <w:rPr>
        <w:rFonts w:ascii="Times New Roman" w:hAnsi="Times New Roman"/>
        <w:noProof/>
        <w:sz w:val="28"/>
        <w:szCs w:val="28"/>
        <w:lang w:val="ru-RU"/>
      </w:rPr>
      <w:t>6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62" w:rsidRPr="008324D8" w:rsidRDefault="007875B1" w:rsidP="000D4362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 w:rsidRPr="008324D8">
      <w:rPr>
        <w:rFonts w:ascii="Times New Roman" w:hAnsi="Times New Roman"/>
        <w:sz w:val="20"/>
      </w:rPr>
      <w:t xml:space="preserve">До реєстр. № </w:t>
    </w:r>
    <w:r w:rsidR="00A40778" w:rsidRPr="008324D8">
      <w:rPr>
        <w:rFonts w:ascii="Times New Roman" w:hAnsi="Times New Roman"/>
        <w:sz w:val="20"/>
      </w:rPr>
      <w:t>5596-1 від 22.06.2021</w:t>
    </w:r>
  </w:p>
  <w:p w:rsidR="00527CEF" w:rsidRDefault="00A40778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 w:rsidRPr="008324D8">
      <w:rPr>
        <w:rFonts w:ascii="Times New Roman" w:hAnsi="Times New Roman"/>
        <w:sz w:val="20"/>
      </w:rPr>
      <w:t>Народні депутати України</w:t>
    </w:r>
  </w:p>
  <w:p w:rsidR="00A40778" w:rsidRDefault="00A40778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А. </w:t>
    </w:r>
    <w:proofErr w:type="spellStart"/>
    <w:r>
      <w:rPr>
        <w:rFonts w:ascii="Times New Roman" w:hAnsi="Times New Roman"/>
        <w:sz w:val="20"/>
      </w:rPr>
      <w:t>Холодов</w:t>
    </w:r>
    <w:proofErr w:type="spellEnd"/>
    <w:r>
      <w:rPr>
        <w:rFonts w:ascii="Times New Roman" w:hAnsi="Times New Roman"/>
        <w:sz w:val="20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2A0"/>
    <w:multiLevelType w:val="hybridMultilevel"/>
    <w:tmpl w:val="4B205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786931"/>
    <w:multiLevelType w:val="hybridMultilevel"/>
    <w:tmpl w:val="A61E4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051B9A"/>
    <w:multiLevelType w:val="hybridMultilevel"/>
    <w:tmpl w:val="604A8C3E"/>
    <w:lvl w:ilvl="0" w:tplc="793EDD90">
      <w:start w:val="3"/>
      <w:numFmt w:val="bullet"/>
      <w:lvlText w:val="-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8"/>
    <w:rsid w:val="0000245F"/>
    <w:rsid w:val="00006043"/>
    <w:rsid w:val="000C4B3B"/>
    <w:rsid w:val="000D342E"/>
    <w:rsid w:val="000D4362"/>
    <w:rsid w:val="00132EB5"/>
    <w:rsid w:val="00135987"/>
    <w:rsid w:val="001676D2"/>
    <w:rsid w:val="00193977"/>
    <w:rsid w:val="00215220"/>
    <w:rsid w:val="002213B9"/>
    <w:rsid w:val="00280E7C"/>
    <w:rsid w:val="002B2967"/>
    <w:rsid w:val="003670A8"/>
    <w:rsid w:val="003A0D32"/>
    <w:rsid w:val="00461F08"/>
    <w:rsid w:val="00480A08"/>
    <w:rsid w:val="00527CEF"/>
    <w:rsid w:val="00590F51"/>
    <w:rsid w:val="0059758F"/>
    <w:rsid w:val="00654998"/>
    <w:rsid w:val="006823F0"/>
    <w:rsid w:val="006A7EE4"/>
    <w:rsid w:val="00763F28"/>
    <w:rsid w:val="007875B1"/>
    <w:rsid w:val="00793BBD"/>
    <w:rsid w:val="007A3878"/>
    <w:rsid w:val="008324D8"/>
    <w:rsid w:val="008D7591"/>
    <w:rsid w:val="00975A81"/>
    <w:rsid w:val="009C105D"/>
    <w:rsid w:val="009C3379"/>
    <w:rsid w:val="00A40778"/>
    <w:rsid w:val="00AD4C1A"/>
    <w:rsid w:val="00B12DD7"/>
    <w:rsid w:val="00B66545"/>
    <w:rsid w:val="00BA01F2"/>
    <w:rsid w:val="00BA3FFA"/>
    <w:rsid w:val="00BB5770"/>
    <w:rsid w:val="00BD0737"/>
    <w:rsid w:val="00D122B7"/>
    <w:rsid w:val="00D1705B"/>
    <w:rsid w:val="00D17CD3"/>
    <w:rsid w:val="00DD0D32"/>
    <w:rsid w:val="00DE408D"/>
    <w:rsid w:val="00EE5A9C"/>
    <w:rsid w:val="00F05632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Pr>
      <w:lang w:val="uk-UA"/>
    </w:rPr>
  </w:style>
  <w:style w:type="paragraph" w:styleId="a7">
    <w:name w:val="footnote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виноски Знак"/>
    <w:link w:val="a7"/>
    <w:uiPriority w:val="99"/>
    <w:rPr>
      <w:sz w:val="20"/>
      <w:szCs w:val="20"/>
      <w:lang w:val="uk-UA"/>
    </w:rPr>
  </w:style>
  <w:style w:type="character" w:styleId="a9">
    <w:name w:val="footnote reference"/>
    <w:uiPriority w:val="99"/>
    <w:unhideWhenUsed/>
    <w:rPr>
      <w:vertAlign w:val="superscript"/>
    </w:rPr>
  </w:style>
  <w:style w:type="paragraph" w:styleId="aa">
    <w:name w:val="List Paragraph"/>
    <w:basedOn w:val="a"/>
    <w:uiPriority w:val="34"/>
    <w:qFormat/>
    <w:rsid w:val="00763F28"/>
    <w:pPr>
      <w:ind w:left="720"/>
      <w:contextualSpacing/>
    </w:pPr>
  </w:style>
  <w:style w:type="character" w:customStyle="1" w:styleId="FontStyle18">
    <w:name w:val="Font Style18"/>
    <w:uiPriority w:val="99"/>
    <w:qFormat/>
    <w:rsid w:val="00A40778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Hyperlink"/>
    <w:basedOn w:val="a0"/>
    <w:uiPriority w:val="99"/>
    <w:unhideWhenUsed/>
    <w:rsid w:val="00A40778"/>
    <w:rPr>
      <w:color w:val="0000FF"/>
      <w:u w:val="single"/>
    </w:rPr>
  </w:style>
  <w:style w:type="paragraph" w:customStyle="1" w:styleId="Style5">
    <w:name w:val="Style5"/>
    <w:basedOn w:val="a"/>
    <w:uiPriority w:val="99"/>
    <w:rsid w:val="00A4077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A4077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1522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15220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70-2000-%D0%BF?find=1&amp;text=%D0%BA%D0%BE%D0%BD%D0%BE%D0%BF%D0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fe.pravda.com.ua/health/2019/02/22/235748/" TargetMode="External"/><Relationship Id="rId1" Type="http://schemas.openxmlformats.org/officeDocument/2006/relationships/hyperlink" Target="https://www.drugabuse.gov/publications/research-reports/marijuana/what-are-marijuanas-long-term-effects-br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4BDE-D06C-4D92-B4B7-E8F6398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10194</Words>
  <Characters>5812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2021-06-30T08:27:00Z</dcterms:created>
  <dcterms:modified xsi:type="dcterms:W3CDTF">2021-06-30T08:33:00Z</dcterms:modified>
</cp:coreProperties>
</file>