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8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8"/>
      </w:tblGrid>
      <w:tr w:rsidR="002453ED" w:rsidRPr="00474E96" w:rsidTr="004553D8">
        <w:trPr>
          <w:trHeight w:val="1796"/>
        </w:trPr>
        <w:tc>
          <w:tcPr>
            <w:tcW w:w="12198" w:type="dxa"/>
            <w:tcBorders>
              <w:top w:val="nil"/>
              <w:left w:val="nil"/>
              <w:bottom w:val="nil"/>
              <w:right w:val="nil"/>
            </w:tcBorders>
          </w:tcPr>
          <w:p w:rsidR="002453ED" w:rsidRPr="00474E96" w:rsidRDefault="002453ED" w:rsidP="00455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474E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7A7D4D84" wp14:editId="3413A821">
                  <wp:simplePos x="0" y="0"/>
                  <wp:positionH relativeFrom="margin">
                    <wp:posOffset>3748405</wp:posOffset>
                  </wp:positionH>
                  <wp:positionV relativeFrom="paragraph">
                    <wp:posOffset>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3ED" w:rsidRPr="00474E96" w:rsidRDefault="002453ED" w:rsidP="00455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  <w:p w:rsidR="002453ED" w:rsidRPr="00474E96" w:rsidRDefault="002453ED" w:rsidP="00455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eastAsia="ru-RU"/>
              </w:rPr>
            </w:pPr>
          </w:p>
          <w:p w:rsidR="002453ED" w:rsidRPr="00474E96" w:rsidRDefault="002453ED" w:rsidP="00455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eastAsia="ru-RU"/>
              </w:rPr>
            </w:pPr>
            <w:r w:rsidRPr="00474E96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eastAsia="ru-RU"/>
              </w:rPr>
              <w:t>ВЕРХОВНА РАДА УКРАЇНИ</w:t>
            </w:r>
          </w:p>
          <w:p w:rsidR="002453ED" w:rsidRPr="00474E96" w:rsidRDefault="002453ED" w:rsidP="00455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  <w:lang w:eastAsia="ru-RU"/>
              </w:rPr>
            </w:pPr>
            <w:r w:rsidRPr="00474E96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  <w:lang w:eastAsia="ru-RU"/>
              </w:rPr>
              <w:t>Комітет з питань організації державної влади, місцевого самоврядування,</w:t>
            </w:r>
            <w:r w:rsidRPr="00474E96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  <w:lang w:eastAsia="ru-RU"/>
              </w:rPr>
              <w:br/>
              <w:t xml:space="preserve"> регіонального розвитку та містобудування</w:t>
            </w:r>
          </w:p>
          <w:p w:rsidR="002453ED" w:rsidRPr="00474E96" w:rsidRDefault="002453ED" w:rsidP="00455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567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eastAsia="ru-RU"/>
              </w:rPr>
            </w:pPr>
            <w:r w:rsidRPr="00474E96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eastAsia="ru-RU"/>
              </w:rPr>
              <w:t xml:space="preserve">01008, м.Київ-8, вул. М. Грушевського, 5, </w:t>
            </w:r>
            <w:proofErr w:type="spellStart"/>
            <w:r w:rsidRPr="00474E96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eastAsia="ru-RU"/>
              </w:rPr>
              <w:t>тел</w:t>
            </w:r>
            <w:proofErr w:type="spellEnd"/>
            <w:r w:rsidRPr="00474E96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eastAsia="ru-RU"/>
              </w:rPr>
              <w:t xml:space="preserve">./факс: 255-32-05, 255-20-75    </w:t>
            </w:r>
          </w:p>
        </w:tc>
      </w:tr>
    </w:tbl>
    <w:p w:rsidR="002453ED" w:rsidRPr="00474E96" w:rsidRDefault="002453ED" w:rsidP="002453E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XSpec="center" w:tblpY="174"/>
        <w:tblW w:w="11887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2453ED" w:rsidRPr="00474E96" w:rsidTr="004553D8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ED" w:rsidRPr="00474E96" w:rsidRDefault="002453ED" w:rsidP="00455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Calibri" w:eastAsia="Calibri" w:hAnsi="Calibri" w:cs="Times New Roman"/>
                <w:color w:val="002060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  <w:left w:val="nil"/>
              <w:bottom w:val="nil"/>
              <w:right w:val="nil"/>
            </w:tcBorders>
            <w:shd w:val="clear" w:color="auto" w:fill="auto"/>
          </w:tcPr>
          <w:p w:rsidR="002453ED" w:rsidRPr="00474E96" w:rsidRDefault="002453ED" w:rsidP="00455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Calibri" w:eastAsia="Calibri" w:hAnsi="Calibri" w:cs="Times New Roman"/>
                <w:color w:val="002060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ED" w:rsidRPr="00474E96" w:rsidRDefault="002453ED" w:rsidP="004553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Calibri" w:eastAsia="Calibri" w:hAnsi="Calibri" w:cs="Times New Roman"/>
                <w:color w:val="002060"/>
                <w:szCs w:val="28"/>
                <w:lang w:eastAsia="ru-RU"/>
              </w:rPr>
            </w:pPr>
          </w:p>
        </w:tc>
      </w:tr>
    </w:tbl>
    <w:p w:rsidR="002453ED" w:rsidRPr="00474E96" w:rsidRDefault="002453ED" w:rsidP="00245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ED" w:rsidRDefault="002453ED" w:rsidP="002453ED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53ED" w:rsidRPr="00474E96" w:rsidRDefault="002453ED" w:rsidP="002453ED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4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ВЕРХОВНА РАДА УКРАЇНИ</w:t>
      </w:r>
    </w:p>
    <w:p w:rsidR="002453ED" w:rsidRPr="00474E96" w:rsidRDefault="002453ED" w:rsidP="0024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53ED" w:rsidRDefault="002453ED" w:rsidP="0024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Комітет Верховної Ради України з питань організації державної влади, місцевого самоврядування, регіонального розвитку та містобудування на своєму засіданні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 липня</w:t>
      </w:r>
      <w:r w:rsidRPr="00474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року (протокол засідання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76</w:t>
      </w:r>
      <w:r w:rsidRPr="00474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розглянув питання щодо призначення позачергових виборів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Ка́рлівської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міської ради Полтавського району Полтавської області</w:t>
      </w:r>
      <w:r w:rsidRPr="00474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453ED" w:rsidRPr="002453ED" w:rsidRDefault="002453ED" w:rsidP="0024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3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Зазначене питання було </w:t>
      </w:r>
      <w:r w:rsidR="00917E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порушено</w:t>
      </w:r>
      <w:r w:rsidRPr="002453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Карлівським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міським</w:t>
      </w:r>
      <w:r w:rsidRPr="002453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головою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Світликом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П.М.</w:t>
      </w:r>
      <w:r w:rsidRPr="002453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підставі пункту 2 частини першої</w:t>
      </w:r>
      <w:r w:rsidRPr="002453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статті 78 Закону України «Про місцеве самоврядування в Україні» у зв’язку з не проведенням сесій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міської ради</w:t>
      </w:r>
      <w:r w:rsidRPr="002453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 поважних причин у строки, встановлені законом, та не вирішенням радою питань, віднесених до її відання.</w:t>
      </w:r>
    </w:p>
    <w:p w:rsidR="002453ED" w:rsidRPr="00474E96" w:rsidRDefault="002453ED" w:rsidP="0024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E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результатами розгляду питання Комітет ухвалив висновок рекомендувати Верховній Раді України відповідно до пункту 30 частини першої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81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татті 85 Конституції України,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під</w:t>
      </w:r>
      <w:r w:rsidR="0081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ставі пункту 2 частини першої 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частини четвертої статті 78 Закону України «Про місцеве самоврядування в Україні», </w:t>
      </w:r>
      <w:r w:rsidRPr="00474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частини першої статті 5, частини третьої статті 194, частини першої статті 195 Виборчого кодексу України призначити позачергові вибори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міської ради Полтавського району Полтавської області </w:t>
      </w:r>
      <w:r w:rsidRPr="00474E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неділю 31 жовтня 2021 року, прийнявши про це відповідну Постанову Верховної Ради України.</w:t>
      </w:r>
    </w:p>
    <w:p w:rsidR="002453ED" w:rsidRPr="00474E96" w:rsidRDefault="002453ED" w:rsidP="0024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E96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Виступити на пленарному засіданні Верховної Ради України під час розгляду цього питання доручено Заступнику Голови Комітету, голові підкомітету з питань виборів, референдумів та інших форм безпосередньої демократії, народному депутату України Загоруйко А.Л.</w:t>
      </w:r>
    </w:p>
    <w:p w:rsidR="002453ED" w:rsidRPr="00474E96" w:rsidRDefault="002453ED" w:rsidP="0024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Постанови та матеріали додаються.</w:t>
      </w:r>
    </w:p>
    <w:p w:rsidR="002453ED" w:rsidRPr="00474E96" w:rsidRDefault="002453ED" w:rsidP="0024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53ED" w:rsidRPr="00474E96" w:rsidRDefault="002453ED" w:rsidP="00245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53ED" w:rsidRPr="00474E96" w:rsidRDefault="002453ED" w:rsidP="00245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4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Голова Комітету</w:t>
      </w:r>
      <w:r w:rsidRPr="00474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74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74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74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74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74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</w:t>
      </w:r>
      <w:r w:rsidRPr="00474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А. КЛОЧКО</w:t>
      </w:r>
    </w:p>
    <w:p w:rsidR="002453ED" w:rsidRDefault="002453ED" w:rsidP="002453ED"/>
    <w:p w:rsidR="002453ED" w:rsidRDefault="002453ED" w:rsidP="002453ED"/>
    <w:p w:rsidR="000653AE" w:rsidRDefault="000653AE"/>
    <w:sectPr w:rsidR="000653AE" w:rsidSect="008D0C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ED"/>
    <w:rsid w:val="000653AE"/>
    <w:rsid w:val="00074572"/>
    <w:rsid w:val="002453ED"/>
    <w:rsid w:val="0081253F"/>
    <w:rsid w:val="009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6657-FE9A-44B7-B35A-5E00074F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379F5-A3BC-40D5-8AAC-42E844C43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13640-5D79-420C-9012-294264E86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1F5B9-FA41-4C9F-9370-394B248B6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2021-07-15T06:57:00Z</dcterms:created>
  <dcterms:modified xsi:type="dcterms:W3CDTF">2021-07-15T06:57:00Z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