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C7" w:rsidRDefault="007B706F" w:rsidP="00EE5E1B">
      <w:pPr>
        <w:spacing w:after="0" w:line="360" w:lineRule="auto"/>
        <w:ind w:left="5103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 w:rsidRPr="007B70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Комітет </w:t>
      </w:r>
      <w:r w:rsidR="00EE5E1B">
        <w:rPr>
          <w:rFonts w:ascii="Times New Roman" w:eastAsia="Times New Roman" w:hAnsi="Times New Roman" w:cs="Times New Roman"/>
          <w:color w:val="333333"/>
          <w:sz w:val="28"/>
          <w:szCs w:val="28"/>
        </w:rPr>
        <w:t>Верховної Ради України</w:t>
      </w:r>
      <w:r w:rsidR="00D569A0" w:rsidRPr="00D569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питань фінансів, податкової та митної політики</w:t>
      </w:r>
    </w:p>
    <w:p w:rsidR="007033C7" w:rsidRDefault="007033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33C7" w:rsidRDefault="003828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 Комітету</w:t>
      </w:r>
    </w:p>
    <w:p w:rsidR="007033C7" w:rsidRDefault="003828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 експертного висновку</w:t>
      </w:r>
    </w:p>
    <w:p w:rsidR="007033C7" w:rsidRDefault="00EE5E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38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законопроекту № </w:t>
      </w:r>
      <w:r w:rsidR="00D569A0">
        <w:rPr>
          <w:rFonts w:ascii="Times New Roman" w:eastAsia="Times New Roman" w:hAnsi="Times New Roman" w:cs="Times New Roman"/>
          <w:color w:val="000000"/>
          <w:sz w:val="28"/>
          <w:szCs w:val="28"/>
        </w:rPr>
        <w:t>6051</w:t>
      </w:r>
    </w:p>
    <w:p w:rsidR="007033C7" w:rsidRDefault="007033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highlight w:val="white"/>
        </w:rPr>
      </w:pPr>
    </w:p>
    <w:p w:rsidR="007033C7" w:rsidRDefault="003828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Згідно зі статтею 93 Регламенту Верховної Ради України, відповідно до предмета відання і за дорученням Голови Верховної Ради України, Комітет для підготовки експертного висновку щодо відповідності вимогам антикорупційного законодавства розглянув проект Закону </w:t>
      </w:r>
      <w:r w:rsidR="004C2A92">
        <w:rPr>
          <w:rFonts w:ascii="Times New Roman" w:eastAsia="Times New Roman" w:hAnsi="Times New Roman" w:cs="Times New Roman"/>
          <w:sz w:val="28"/>
          <w:szCs w:val="28"/>
        </w:rPr>
        <w:t>України «</w:t>
      </w:r>
      <w:r w:rsidR="00D569A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569A0" w:rsidRPr="00D569A0">
        <w:rPr>
          <w:rFonts w:ascii="Times New Roman" w:eastAsia="Times New Roman" w:hAnsi="Times New Roman" w:cs="Times New Roman"/>
          <w:sz w:val="28"/>
          <w:szCs w:val="28"/>
        </w:rPr>
        <w:t>ро внесення змін до Митного кодексу України щодо адміністративної відповідальності громадян за порушення митних правил</w:t>
      </w:r>
      <w:r w:rsidR="004C2A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4C2A92" w:rsidRPr="00D12C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2A92" w:rsidRPr="00502AB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C2A92" w:rsidRPr="00D569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реєстр. № </w:t>
      </w:r>
      <w:r w:rsidR="00D569A0" w:rsidRPr="00D569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6051</w:t>
      </w:r>
      <w:r w:rsidR="004C2A92" w:rsidRPr="00333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4C2A92" w:rsidRPr="00707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поданий </w:t>
      </w:r>
      <w:r w:rsidR="00D56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народними депутатами України </w:t>
      </w:r>
      <w:proofErr w:type="spellStart"/>
      <w:r w:rsidR="00D569A0" w:rsidRPr="00D569A0">
        <w:rPr>
          <w:rFonts w:ascii="Times New Roman" w:eastAsia="Times New Roman" w:hAnsi="Times New Roman" w:cs="Times New Roman"/>
          <w:color w:val="000000"/>
          <w:sz w:val="28"/>
          <w:szCs w:val="28"/>
        </w:rPr>
        <w:t>Гетманцевим</w:t>
      </w:r>
      <w:proofErr w:type="spellEnd"/>
      <w:r w:rsidR="00D569A0" w:rsidRPr="00D569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Д.О., Ковальчуком О.В. та іншими народними депутатами України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A92" w:rsidRDefault="00D569A0" w:rsidP="007C36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9A0">
        <w:rPr>
          <w:rFonts w:ascii="Times New Roman" w:eastAsia="Times New Roman" w:hAnsi="Times New Roman" w:cs="Times New Roman"/>
          <w:sz w:val="28"/>
          <w:szCs w:val="28"/>
        </w:rPr>
        <w:t>Проект Закону, відповідно до пояснювальної записки, розроблено з метою приведення положень статті 471 Митного кодексу України у відповідність із Рішенням Конституційного Суду України від 21.07.2021 № 3-р(II)/2021 та врегулювання питання притягнення до адміністративної відповідальності громадян за порушення встановленого законодавством порядку переміщення товарів через митний кордон України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69A0" w:rsidRDefault="00D569A0" w:rsidP="007C36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9A0">
        <w:rPr>
          <w:rFonts w:ascii="Times New Roman" w:eastAsia="Times New Roman" w:hAnsi="Times New Roman" w:cs="Times New Roman"/>
          <w:sz w:val="28"/>
          <w:szCs w:val="28"/>
        </w:rPr>
        <w:t xml:space="preserve">У проекті акта не виявлено </w:t>
      </w:r>
      <w:proofErr w:type="spellStart"/>
      <w:r w:rsidRPr="00D569A0">
        <w:rPr>
          <w:rFonts w:ascii="Times New Roman" w:eastAsia="Times New Roman" w:hAnsi="Times New Roman" w:cs="Times New Roman"/>
          <w:sz w:val="28"/>
          <w:szCs w:val="28"/>
        </w:rPr>
        <w:t>корупціогенних</w:t>
      </w:r>
      <w:proofErr w:type="spellEnd"/>
      <w:r w:rsidRPr="00D569A0">
        <w:rPr>
          <w:rFonts w:ascii="Times New Roman" w:eastAsia="Times New Roman" w:hAnsi="Times New Roman" w:cs="Times New Roman"/>
          <w:sz w:val="28"/>
          <w:szCs w:val="28"/>
        </w:rPr>
        <w:t xml:space="preserve"> факторів, що можуть сприяти вчиненню корупційних правопорушень.</w:t>
      </w:r>
    </w:p>
    <w:p w:rsidR="004C2A92" w:rsidRPr="00C43D4F" w:rsidRDefault="004C2A92" w:rsidP="007C36E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jdgxs" w:colFirst="0" w:colLast="0"/>
      <w:bookmarkEnd w:id="0"/>
      <w:r w:rsidRPr="000F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Керуючись положеннями пункту 3 частини першої статті 16 Закону України «Про комітети Верховної Ради України», статті 55 Закону України «Про </w:t>
      </w:r>
      <w:r w:rsidRPr="000F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запобігання корупції», частини першої статті 93 Регламенту Верховної Ради України, Комітет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своєму засіданні </w:t>
      </w:r>
      <w:r w:rsidR="00D56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6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грудня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</w:t>
      </w:r>
      <w:r w:rsidR="00D56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(протокол № </w:t>
      </w:r>
      <w:r w:rsidR="00D56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0F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дійшов висновку та прийняв рішення, що проект Закону України </w:t>
      </w:r>
      <w:r w:rsidR="00D56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569A0" w:rsidRPr="00D56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внесення змін до Митного кодексу України щодо адміністративної відповідальності громадян за порушення митних правил» (реєстр. № 6051</w:t>
      </w:r>
      <w:r w:rsidR="000F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F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C43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відповідає вимогам антикорупційного законодавства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D6D89" w:rsidRDefault="00DD6D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D89" w:rsidRDefault="00DD6D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D89" w:rsidRPr="00DD6D89" w:rsidRDefault="00E713F5" w:rsidP="009C4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Перший з</w:t>
      </w:r>
      <w:r w:rsidR="004C2A92">
        <w:rPr>
          <w:rFonts w:ascii="Times New Roman" w:eastAsia="Times New Roman" w:hAnsi="Times New Roman" w:cs="Times New Roman"/>
          <w:sz w:val="28"/>
          <w:szCs w:val="28"/>
        </w:rPr>
        <w:t xml:space="preserve">аступник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C412C" w:rsidRPr="009C412C">
        <w:rPr>
          <w:rFonts w:ascii="Times New Roman" w:eastAsia="Times New Roman" w:hAnsi="Times New Roman" w:cs="Times New Roman"/>
          <w:sz w:val="28"/>
          <w:szCs w:val="28"/>
        </w:rPr>
        <w:t>олов</w:t>
      </w:r>
      <w:r w:rsidR="004C2A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412C" w:rsidRPr="009C412C">
        <w:rPr>
          <w:rFonts w:ascii="Times New Roman" w:eastAsia="Times New Roman" w:hAnsi="Times New Roman" w:cs="Times New Roman"/>
          <w:sz w:val="28"/>
          <w:szCs w:val="28"/>
        </w:rPr>
        <w:t xml:space="preserve"> Комітету                                        </w:t>
      </w:r>
      <w:r w:rsidR="004C2A9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C412C" w:rsidRPr="009C412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C2A92">
        <w:rPr>
          <w:rFonts w:ascii="Times New Roman" w:eastAsia="Times New Roman" w:hAnsi="Times New Roman" w:cs="Times New Roman"/>
          <w:sz w:val="28"/>
          <w:szCs w:val="28"/>
        </w:rPr>
        <w:t>Я. ЮРЧИШИН</w:t>
      </w:r>
    </w:p>
    <w:sectPr w:rsidR="00DD6D89" w:rsidRPr="00DD6D89" w:rsidSect="00471C7B">
      <w:headerReference w:type="default" r:id="rId9"/>
      <w:headerReference w:type="first" r:id="rId10"/>
      <w:pgSz w:w="11906" w:h="16838"/>
      <w:pgMar w:top="709" w:right="567" w:bottom="993" w:left="1701" w:header="568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71" w:rsidRDefault="00AD1971">
      <w:pPr>
        <w:spacing w:after="0" w:line="240" w:lineRule="auto"/>
      </w:pPr>
      <w:r>
        <w:separator/>
      </w:r>
    </w:p>
  </w:endnote>
  <w:endnote w:type="continuationSeparator" w:id="0">
    <w:p w:rsidR="00AD1971" w:rsidRDefault="00AD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71" w:rsidRDefault="00AD1971">
      <w:pPr>
        <w:spacing w:after="0" w:line="240" w:lineRule="auto"/>
      </w:pPr>
      <w:r>
        <w:separator/>
      </w:r>
    </w:p>
  </w:footnote>
  <w:footnote w:type="continuationSeparator" w:id="0">
    <w:p w:rsidR="00AD1971" w:rsidRDefault="00AD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764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71C7B" w:rsidRPr="00471C7B" w:rsidRDefault="00471C7B">
        <w:pPr>
          <w:pStyle w:val="a7"/>
          <w:jc w:val="center"/>
          <w:rPr>
            <w:rFonts w:ascii="Times New Roman" w:hAnsi="Times New Roman" w:cs="Times New Roman"/>
          </w:rPr>
        </w:pPr>
        <w:r w:rsidRPr="00471C7B">
          <w:rPr>
            <w:rFonts w:ascii="Times New Roman" w:hAnsi="Times New Roman" w:cs="Times New Roman"/>
          </w:rPr>
          <w:fldChar w:fldCharType="begin"/>
        </w:r>
        <w:r w:rsidRPr="00471C7B">
          <w:rPr>
            <w:rFonts w:ascii="Times New Roman" w:hAnsi="Times New Roman" w:cs="Times New Roman"/>
          </w:rPr>
          <w:instrText>PAGE   \* MERGEFORMAT</w:instrText>
        </w:r>
        <w:r w:rsidRPr="00471C7B">
          <w:rPr>
            <w:rFonts w:ascii="Times New Roman" w:hAnsi="Times New Roman" w:cs="Times New Roman"/>
          </w:rPr>
          <w:fldChar w:fldCharType="separate"/>
        </w:r>
        <w:r w:rsidR="00D569A0">
          <w:rPr>
            <w:rFonts w:ascii="Times New Roman" w:hAnsi="Times New Roman" w:cs="Times New Roman"/>
            <w:noProof/>
          </w:rPr>
          <w:t>2</w:t>
        </w:r>
        <w:r w:rsidRPr="00471C7B">
          <w:rPr>
            <w:rFonts w:ascii="Times New Roman" w:hAnsi="Times New Roman" w:cs="Times New Roman"/>
          </w:rPr>
          <w:fldChar w:fldCharType="end"/>
        </w:r>
      </w:p>
    </w:sdtContent>
  </w:sdt>
  <w:p w:rsidR="00471C7B" w:rsidRDefault="00471C7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195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957"/>
    </w:tblGrid>
    <w:tr w:rsidR="007033C7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7033C7" w:rsidRDefault="007033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:rsidR="007033C7" w:rsidRDefault="007033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:rsidR="007033C7" w:rsidRDefault="007033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2060"/>
              <w:sz w:val="32"/>
              <w:szCs w:val="32"/>
            </w:rPr>
          </w:pPr>
        </w:p>
        <w:p w:rsidR="007033C7" w:rsidRDefault="003828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</w:pPr>
          <w:r>
            <w:rPr>
              <w:rFonts w:ascii="Times New Roman" w:eastAsia="Times New Roman" w:hAnsi="Times New Roman" w:cs="Times New Roman"/>
              <w:color w:val="1829A8"/>
              <w:sz w:val="34"/>
              <w:szCs w:val="34"/>
            </w:rPr>
            <w:t>ВЕРХОВНА РАДА УКРАЇНИ</w:t>
          </w:r>
          <w:r>
            <w:rPr>
              <w:noProof/>
            </w:rPr>
            <w:drawing>
              <wp:anchor distT="360045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3474084</wp:posOffset>
                </wp:positionH>
                <wp:positionV relativeFrom="paragraph">
                  <wp:posOffset>-801369</wp:posOffset>
                </wp:positionV>
                <wp:extent cx="461010" cy="636905"/>
                <wp:effectExtent l="0" t="0" r="0" b="0"/>
                <wp:wrapSquare wrapText="bothSides" distT="360045" distB="0" distL="114300" distR="11430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7033C7" w:rsidRDefault="003828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before="10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829A8"/>
              <w:sz w:val="24"/>
              <w:szCs w:val="24"/>
            </w:rPr>
            <w:t>Комітет з питань антикорупційної політики</w:t>
          </w:r>
        </w:p>
        <w:p w:rsidR="007033C7" w:rsidRDefault="003828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before="160" w:after="60" w:line="240" w:lineRule="auto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 xml:space="preserve">01008, м.Київ-8, вул. М. Грушевського, 5, 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тел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.: (044) 255-35-03,  e-</w:t>
          </w:r>
          <w:proofErr w:type="spellStart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mail</w:t>
          </w:r>
          <w:proofErr w:type="spellEnd"/>
          <w:r>
            <w:rPr>
              <w:rFonts w:ascii="Times New Roman" w:eastAsia="Times New Roman" w:hAnsi="Times New Roman" w:cs="Times New Roman"/>
              <w:color w:val="1829A8"/>
              <w:sz w:val="20"/>
              <w:szCs w:val="20"/>
            </w:rPr>
            <w:t>: crimecor@rada.gov.ua</w:t>
          </w:r>
        </w:p>
      </w:tc>
    </w:tr>
  </w:tbl>
  <w:p w:rsidR="007033C7" w:rsidRDefault="007033C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2060"/>
        <w:sz w:val="20"/>
        <w:szCs w:val="20"/>
      </w:rPr>
    </w:pPr>
  </w:p>
  <w:tbl>
    <w:tblPr>
      <w:tblStyle w:val="a6"/>
      <w:tblW w:w="11886" w:type="dxa"/>
      <w:tblInd w:w="-1680" w:type="dxa"/>
      <w:tblBorders>
        <w:top w:val="single" w:sz="12" w:space="0" w:color="0033CC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7"/>
      <w:gridCol w:w="9713"/>
      <w:gridCol w:w="1086"/>
    </w:tblGrid>
    <w:tr w:rsidR="007033C7">
      <w:tc>
        <w:tcPr>
          <w:tcW w:w="1087" w:type="dxa"/>
          <w:tcBorders>
            <w:top w:val="nil"/>
          </w:tcBorders>
        </w:tcPr>
        <w:p w:rsidR="007033C7" w:rsidRDefault="007033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9714" w:type="dxa"/>
        </w:tcPr>
        <w:p w:rsidR="007033C7" w:rsidRDefault="007033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  <w:tc>
        <w:tcPr>
          <w:tcW w:w="1086" w:type="dxa"/>
          <w:tcBorders>
            <w:top w:val="nil"/>
          </w:tcBorders>
        </w:tcPr>
        <w:p w:rsidR="007033C7" w:rsidRDefault="007033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rPr>
              <w:rFonts w:ascii="Times New Roman" w:eastAsia="Times New Roman" w:hAnsi="Times New Roman" w:cs="Times New Roman"/>
              <w:color w:val="002060"/>
              <w:sz w:val="22"/>
              <w:szCs w:val="22"/>
            </w:rPr>
          </w:pPr>
        </w:p>
      </w:tc>
    </w:tr>
  </w:tbl>
  <w:p w:rsidR="007033C7" w:rsidRDefault="007033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ascii="Times New Roman" w:eastAsia="Times New Roman" w:hAnsi="Times New Roman" w:cs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C7"/>
    <w:rsid w:val="00016802"/>
    <w:rsid w:val="000A0FA7"/>
    <w:rsid w:val="000F193E"/>
    <w:rsid w:val="002725FB"/>
    <w:rsid w:val="002A5B37"/>
    <w:rsid w:val="002D5C4C"/>
    <w:rsid w:val="002E2CB3"/>
    <w:rsid w:val="00305FCD"/>
    <w:rsid w:val="00382814"/>
    <w:rsid w:val="003A281D"/>
    <w:rsid w:val="00405296"/>
    <w:rsid w:val="00471C7B"/>
    <w:rsid w:val="004C2A92"/>
    <w:rsid w:val="004D4253"/>
    <w:rsid w:val="004D449F"/>
    <w:rsid w:val="00527D75"/>
    <w:rsid w:val="005E05DF"/>
    <w:rsid w:val="005E247C"/>
    <w:rsid w:val="00675D1D"/>
    <w:rsid w:val="006D65B5"/>
    <w:rsid w:val="007033C7"/>
    <w:rsid w:val="0078566A"/>
    <w:rsid w:val="007955BA"/>
    <w:rsid w:val="007B706F"/>
    <w:rsid w:val="007C36E3"/>
    <w:rsid w:val="008D6831"/>
    <w:rsid w:val="00975D10"/>
    <w:rsid w:val="009B4CB8"/>
    <w:rsid w:val="009C412C"/>
    <w:rsid w:val="00AD1971"/>
    <w:rsid w:val="00B1222F"/>
    <w:rsid w:val="00B411AA"/>
    <w:rsid w:val="00B83F5B"/>
    <w:rsid w:val="00C63D0E"/>
    <w:rsid w:val="00C730FE"/>
    <w:rsid w:val="00D11550"/>
    <w:rsid w:val="00D569A0"/>
    <w:rsid w:val="00DD6D89"/>
    <w:rsid w:val="00E713F5"/>
    <w:rsid w:val="00EE5E1B"/>
    <w:rsid w:val="00EE733C"/>
    <w:rsid w:val="00F7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B1C47"/>
  <w15:docId w15:val="{CFE6D7E1-54CD-4FF6-ADA7-BEAF89D4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6D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D6D89"/>
  </w:style>
  <w:style w:type="paragraph" w:styleId="a9">
    <w:name w:val="footer"/>
    <w:basedOn w:val="a"/>
    <w:link w:val="aa"/>
    <w:uiPriority w:val="99"/>
    <w:unhideWhenUsed/>
    <w:rsid w:val="00DD6D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D6D89"/>
  </w:style>
  <w:style w:type="paragraph" w:styleId="ab">
    <w:name w:val="Balloon Text"/>
    <w:basedOn w:val="a"/>
    <w:link w:val="ac"/>
    <w:uiPriority w:val="99"/>
    <w:semiHidden/>
    <w:unhideWhenUsed/>
    <w:rsid w:val="00C6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6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808D1-715C-46C5-B54E-04A8F6B83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F7B47-0959-43C3-897B-EA4B7DD6E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67C79-A6DB-471F-94E6-7130FCB1AF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Документ_760592.docx</dc:title>
  <dc:creator/>
  <cp:lastModifiedBy/>
  <cp:revision>1</cp:revision>
  <dcterms:created xsi:type="dcterms:W3CDTF">2021-12-15T08:13:20Z</dcterms:created>
  <dcterms:modified xsi:type="dcterms:W3CDTF">2021-12-15T08:13:20Z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