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EC" w:rsidRPr="00C44D75" w:rsidRDefault="00F517EC" w:rsidP="00D56455">
      <w:pPr>
        <w:spacing w:after="0" w:line="240" w:lineRule="auto"/>
        <w:ind w:left="-426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517EC" w:rsidRPr="00C44D75" w:rsidRDefault="00F517EC" w:rsidP="00D56455">
      <w:pPr>
        <w:spacing w:after="0" w:line="240" w:lineRule="auto"/>
        <w:ind w:left="-426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517EC" w:rsidRPr="00C44D75" w:rsidRDefault="00F517EC" w:rsidP="00C44D75">
      <w:pPr>
        <w:spacing w:after="120" w:line="240" w:lineRule="auto"/>
        <w:ind w:left="-426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44D7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ВИСНОВОК</w:t>
      </w:r>
    </w:p>
    <w:p w:rsidR="00F517EC" w:rsidRPr="00C44D75" w:rsidRDefault="00F517EC" w:rsidP="00C44D75">
      <w:pPr>
        <w:spacing w:after="120" w:line="240" w:lineRule="auto"/>
        <w:ind w:left="-426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44D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</w:t>
      </w:r>
      <w:proofErr w:type="spellStart"/>
      <w:r w:rsidRPr="00C44D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проєкту</w:t>
      </w:r>
      <w:proofErr w:type="spellEnd"/>
      <w:r w:rsidRPr="00C44D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Закону України «Про </w:t>
      </w:r>
      <w:r w:rsidR="00A610A8" w:rsidRPr="00C44D75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внесення змін до деяких законів України щодо здійснення функцій технічного регулювання у сфері агропромислового комплексу та машинобудування для агропромислового комплексу</w:t>
      </w:r>
      <w:r w:rsidRPr="00C44D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» </w:t>
      </w:r>
    </w:p>
    <w:p w:rsidR="00F517EC" w:rsidRPr="00C44D75" w:rsidRDefault="00F517EC" w:rsidP="00C44D75">
      <w:pPr>
        <w:spacing w:after="120" w:line="240" w:lineRule="auto"/>
        <w:ind w:left="-426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44D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(реєстр. № </w:t>
      </w:r>
      <w:r w:rsidR="00A610A8" w:rsidRPr="00C44D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6070 від 17.09.2021</w:t>
      </w:r>
      <w:r w:rsidR="00D53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="00D53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н.д</w:t>
      </w:r>
      <w:proofErr w:type="spellEnd"/>
      <w:r w:rsidR="00D53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A610A8" w:rsidRPr="00C44D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Литвиненко С.А.</w:t>
      </w:r>
      <w:r w:rsidRPr="00C44D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інші)</w:t>
      </w:r>
      <w:r w:rsidRPr="00C44D75">
        <w:rPr>
          <w:rFonts w:ascii="Times New Roman" w:eastAsia="Times New Roman" w:hAnsi="Times New Roman"/>
          <w:b/>
          <w:sz w:val="28"/>
          <w:szCs w:val="28"/>
          <w:vertAlign w:val="superscript"/>
          <w:lang w:val="uk-UA" w:eastAsia="ru-RU"/>
        </w:rPr>
        <w:footnoteReference w:id="1"/>
      </w:r>
    </w:p>
    <w:p w:rsidR="00F517EC" w:rsidRPr="00C44D75" w:rsidRDefault="00F517EC" w:rsidP="00C44D75">
      <w:pPr>
        <w:spacing w:after="120" w:line="240" w:lineRule="auto"/>
        <w:outlineLvl w:val="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53492" w:rsidRPr="00D53492" w:rsidRDefault="00D53492" w:rsidP="00D53492">
      <w:pPr>
        <w:spacing w:after="120" w:line="240" w:lineRule="auto"/>
        <w:outlineLvl w:val="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53492" w:rsidRPr="00D53492" w:rsidRDefault="00D53492" w:rsidP="00D53492">
      <w:pPr>
        <w:spacing w:after="120" w:line="240" w:lineRule="auto"/>
        <w:ind w:left="-426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3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 Загальна характеристика </w:t>
      </w:r>
      <w:proofErr w:type="spellStart"/>
      <w:r w:rsidRPr="00D53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законопроєкту</w:t>
      </w:r>
      <w:proofErr w:type="spellEnd"/>
      <w:r w:rsidRPr="00D53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D53492" w:rsidRPr="00D53492" w:rsidRDefault="00D53492" w:rsidP="00D53492">
      <w:pPr>
        <w:tabs>
          <w:tab w:val="left" w:pos="851"/>
        </w:tabs>
        <w:spacing w:after="120" w:line="240" w:lineRule="auto"/>
        <w:ind w:left="-425" w:firstLine="567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</w:pP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Метою розроблення </w:t>
      </w:r>
      <w:proofErr w:type="spellStart"/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>проєкту</w:t>
      </w:r>
      <w:proofErr w:type="spellEnd"/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Закону, як зазначено у пояснювальній записці, є </w:t>
      </w: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врегулювання на законодавчому рівні питання організації роботи щодо реєстрації тракторів, самохідних шасі, самохідних сільськогосподарських, землерийних, </w:t>
      </w:r>
      <w:proofErr w:type="spellStart"/>
      <w:r w:rsidRPr="00D53492">
        <w:rPr>
          <w:rFonts w:ascii="Times New Roman" w:eastAsia="Times New Roman" w:hAnsi="Times New Roman"/>
          <w:sz w:val="28"/>
          <w:szCs w:val="28"/>
          <w:lang w:val="uk-UA"/>
        </w:rPr>
        <w:t>дорожньо</w:t>
      </w:r>
      <w:proofErr w:type="spellEnd"/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-будівельних і меліоративних машин, сільськогосподарської техніки, технологічного транспорту інших механізмів та видачі посвідчень тракториста-машиніста шляхом призначення органу з реєстрації та покладанням на нього відповідних функцій, </w:t>
      </w:r>
      <w:r w:rsidRPr="00D5349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>тощо.</w:t>
      </w:r>
    </w:p>
    <w:p w:rsidR="00D53492" w:rsidRPr="00D53492" w:rsidRDefault="00D53492" w:rsidP="00D5349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3492" w:rsidRPr="00D53492" w:rsidRDefault="00D53492" w:rsidP="00D53492">
      <w:pPr>
        <w:spacing w:after="120" w:line="240" w:lineRule="auto"/>
        <w:ind w:left="-426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53492">
        <w:rPr>
          <w:rFonts w:ascii="Times New Roman" w:eastAsia="Verdana" w:hAnsi="Times New Roman"/>
          <w:b/>
          <w:bCs/>
          <w:sz w:val="28"/>
          <w:szCs w:val="28"/>
          <w:lang w:val="uk-UA" w:eastAsia="ru-RU"/>
        </w:rPr>
        <w:t>2.  </w:t>
      </w:r>
      <w:r w:rsidRPr="00D5349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Належність </w:t>
      </w:r>
      <w:proofErr w:type="spellStart"/>
      <w:r w:rsidRPr="00D5349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законопроєкту</w:t>
      </w:r>
      <w:proofErr w:type="spellEnd"/>
      <w:r w:rsidRPr="00D5349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за предметом правового регулювання до міжнародно-правових зобов’язань України в сфері європейської інтеграції та сфери дії права Європейського Союзу.</w:t>
      </w:r>
    </w:p>
    <w:p w:rsidR="00D53492" w:rsidRPr="00D53492" w:rsidRDefault="00D53492" w:rsidP="00D53492">
      <w:pPr>
        <w:spacing w:after="120" w:line="240" w:lineRule="auto"/>
        <w:ind w:left="-42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Предмет правового регулювання </w:t>
      </w:r>
      <w:proofErr w:type="spellStart"/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>законопроєкту</w:t>
      </w:r>
      <w:proofErr w:type="spellEnd"/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охоплюється:</w:t>
      </w:r>
    </w:p>
    <w:p w:rsidR="00D53492" w:rsidRPr="00D53492" w:rsidRDefault="00D53492" w:rsidP="00D5349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5349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Додатком  ХХХІІ до глави 7 «Транспорт» розділу V «Економічне і галузеве співробітництво»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</w:t>
      </w: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>(далі – Угода про асоціацію).</w:t>
      </w:r>
    </w:p>
    <w:p w:rsidR="00D53492" w:rsidRPr="00D53492" w:rsidRDefault="00D53492" w:rsidP="00D5349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492">
        <w:rPr>
          <w:rFonts w:ascii="Times New Roman" w:hAnsi="Times New Roman"/>
          <w:i/>
          <w:sz w:val="28"/>
          <w:szCs w:val="28"/>
          <w:lang w:val="uk-UA"/>
        </w:rPr>
        <w:t xml:space="preserve">Директивою 2014/45/ЄС Європейського Парламенту і Ради </w:t>
      </w:r>
      <w:r w:rsidRPr="00D53492">
        <w:rPr>
          <w:rFonts w:ascii="Times New Roman" w:hAnsi="Times New Roman"/>
          <w:i/>
          <w:sz w:val="28"/>
          <w:szCs w:val="28"/>
          <w:lang w:val="uk-UA"/>
        </w:rPr>
        <w:br/>
        <w:t xml:space="preserve">від 3 квітня 2014 року про періодичний технічний контроль придатності до експлуатації моторних транспортних засобів та їхніх причепів та про скасування Директиви 2009/40/ЄC </w:t>
      </w:r>
      <w:r w:rsidRPr="00D53492">
        <w:rPr>
          <w:rFonts w:ascii="Times New Roman" w:hAnsi="Times New Roman"/>
          <w:sz w:val="28"/>
          <w:szCs w:val="28"/>
          <w:lang w:val="uk-UA"/>
        </w:rPr>
        <w:t xml:space="preserve">(далі – Директива 2014/45/ЄС).  </w:t>
      </w:r>
    </w:p>
    <w:p w:rsidR="00D53492" w:rsidRPr="00D53492" w:rsidRDefault="00D53492" w:rsidP="00D5349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492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Регламентом 167/2013/ЄС Європейського Парламенту та Ради від 5 лютого 2013 року про схвалення та ринковий нагляд за сільськогосподарською та лісогосподарською технікою </w:t>
      </w:r>
      <w:r w:rsidRPr="00D53492">
        <w:rPr>
          <w:rFonts w:ascii="Times New Roman" w:hAnsi="Times New Roman"/>
          <w:sz w:val="28"/>
          <w:szCs w:val="28"/>
          <w:lang w:val="uk-UA"/>
        </w:rPr>
        <w:t>(далі – Регламент 167/2013/ЄС).</w:t>
      </w:r>
    </w:p>
    <w:p w:rsidR="00D53492" w:rsidRPr="00D53492" w:rsidRDefault="00D53492" w:rsidP="00D5349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3492" w:rsidRPr="00D53492" w:rsidRDefault="00D53492" w:rsidP="00D53492">
      <w:pPr>
        <w:spacing w:after="120" w:line="240" w:lineRule="auto"/>
        <w:ind w:left="-426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3492">
        <w:rPr>
          <w:rFonts w:ascii="Times New Roman" w:eastAsia="Verdana" w:hAnsi="Times New Roman"/>
          <w:b/>
          <w:bCs/>
          <w:sz w:val="28"/>
          <w:szCs w:val="28"/>
          <w:lang w:val="uk-UA" w:eastAsia="ru-RU"/>
        </w:rPr>
        <w:t>3.  </w:t>
      </w:r>
      <w:r w:rsidRPr="00D53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Відповідність </w:t>
      </w:r>
      <w:proofErr w:type="spellStart"/>
      <w:r w:rsidRPr="00D53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законопроєкту</w:t>
      </w:r>
      <w:proofErr w:type="spellEnd"/>
      <w:r w:rsidRPr="00D53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міжнародно-правовим зобов’язанням України в сфері європейської інтеграції та праву ЄС.</w:t>
      </w:r>
    </w:p>
    <w:p w:rsidR="00D53492" w:rsidRPr="00D53492" w:rsidRDefault="00D53492" w:rsidP="00D53492">
      <w:pPr>
        <w:spacing w:after="120" w:line="240" w:lineRule="auto"/>
        <w:ind w:left="-426" w:firstLine="56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D5349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пункту 1</w:t>
      </w: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5349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Додатку  ХХХІІ</w:t>
      </w: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5349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 глави 7 «Транспорт» розділу V «Економічне і галузеве співробітництво» Угоди про асоціацію</w:t>
      </w: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Україна зобов’язується поступово наблизити своє законодавство до законодавства ЄС, а саме до </w:t>
      </w:r>
      <w:r w:rsidRPr="00D5349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Директиви 2009/40/ЄС</w:t>
      </w: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Європейського Парламенту та Ради від 6 травня 2009 року про </w:t>
      </w:r>
      <w:r w:rsidRPr="00D534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перевірку технічного стану моторних транспортних засобів та їхніх причепів на придатність до експлуатування.</w:t>
      </w:r>
    </w:p>
    <w:p w:rsidR="00D53492" w:rsidRPr="00D53492" w:rsidRDefault="00D53492" w:rsidP="00D53492">
      <w:pPr>
        <w:spacing w:after="12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Угодою про асоціацію передбачено, що положення </w:t>
      </w:r>
      <w:r w:rsidRPr="00D53492">
        <w:rPr>
          <w:rFonts w:ascii="Times New Roman" w:eastAsia="Times New Roman" w:hAnsi="Times New Roman"/>
          <w:i/>
          <w:sz w:val="28"/>
          <w:szCs w:val="28"/>
          <w:lang w:val="uk-UA"/>
        </w:rPr>
        <w:t>Директиви 2009/40/ЄС</w:t>
      </w: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 повинні бути впроваджені для усіх транспортних засобів, що використовуються у міжнародних вантажних перевезеннях - протягом 1 року, для усіх транспортних засобів, що використовуються у міжнародних пасажирських перевезеннях - протягом 3 років, та для усіх інших транспортних засобів – протягом 5 років після набрання чинності Угоди про асоціацію.</w:t>
      </w:r>
    </w:p>
    <w:p w:rsidR="00D53492" w:rsidRPr="00D53492" w:rsidRDefault="00D53492" w:rsidP="00D53492">
      <w:pPr>
        <w:spacing w:after="12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49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Директива 2009/40/ЄС</w:t>
      </w: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була скасована та замінена на </w:t>
      </w:r>
      <w:r w:rsidRPr="00D53492">
        <w:rPr>
          <w:rFonts w:ascii="Times New Roman" w:hAnsi="Times New Roman"/>
          <w:i/>
          <w:sz w:val="28"/>
          <w:szCs w:val="28"/>
          <w:lang w:val="uk-UA"/>
        </w:rPr>
        <w:t>Директиву 2014/45/ЄС</w:t>
      </w:r>
      <w:r w:rsidRPr="00D53492">
        <w:rPr>
          <w:rFonts w:ascii="Times New Roman" w:hAnsi="Times New Roman"/>
          <w:sz w:val="28"/>
          <w:szCs w:val="28"/>
          <w:lang w:val="uk-UA"/>
        </w:rPr>
        <w:t>.</w:t>
      </w:r>
    </w:p>
    <w:p w:rsidR="00D53492" w:rsidRPr="00D53492" w:rsidRDefault="00D53492" w:rsidP="00D53492">
      <w:pPr>
        <w:spacing w:after="120" w:line="240" w:lineRule="auto"/>
        <w:ind w:left="-426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запропонованої </w:t>
      </w:r>
      <w:proofErr w:type="spellStart"/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>законопроєктом</w:t>
      </w:r>
      <w:proofErr w:type="spellEnd"/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21 до Закону України </w:t>
      </w:r>
      <w:r w:rsidRPr="00D53492">
        <w:rPr>
          <w:rFonts w:ascii="Times New Roman" w:hAnsi="Times New Roman"/>
          <w:sz w:val="28"/>
          <w:szCs w:val="28"/>
          <w:lang w:val="uk-UA"/>
        </w:rPr>
        <w:t>«Про систему інженерно-технічного забезпечення агропромислового комплексу України» передбачена наступна періодичність та частота технічного контролю придатності до експлуатації технічних засобів:</w:t>
      </w:r>
    </w:p>
    <w:p w:rsidR="00D53492" w:rsidRPr="00D53492" w:rsidRDefault="00D53492" w:rsidP="00D53492">
      <w:pPr>
        <w:spacing w:after="120" w:line="240" w:lineRule="auto"/>
        <w:ind w:left="-426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D53492">
        <w:rPr>
          <w:rFonts w:ascii="Times New Roman" w:hAnsi="Times New Roman"/>
          <w:sz w:val="28"/>
          <w:szCs w:val="28"/>
          <w:lang w:val="uk-UA"/>
        </w:rPr>
        <w:t>«- для нових технічних засобів становить 3 роки з дати першої реєстрації (введення в обіг), потім кожні два роки після останнього технічного контролю;</w:t>
      </w:r>
    </w:p>
    <w:p w:rsidR="00D53492" w:rsidRPr="00D53492" w:rsidRDefault="00D53492" w:rsidP="00D53492">
      <w:pPr>
        <w:spacing w:after="120" w:line="240" w:lineRule="auto"/>
        <w:ind w:left="-426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D53492">
        <w:rPr>
          <w:rFonts w:ascii="Times New Roman" w:hAnsi="Times New Roman"/>
          <w:sz w:val="28"/>
          <w:szCs w:val="28"/>
          <w:lang w:val="uk-UA"/>
        </w:rPr>
        <w:t>- для бувших у вжитку (у користуванні) технічних засобів становить 3 місяці з дати першої реєстрації (введення в обіг), потім кожні два роки після останнього технічного контролю».</w:t>
      </w:r>
    </w:p>
    <w:p w:rsidR="00D53492" w:rsidRPr="00D53492" w:rsidRDefault="00D53492" w:rsidP="00D53492">
      <w:pPr>
        <w:spacing w:after="120" w:line="240" w:lineRule="auto"/>
        <w:ind w:left="-426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D53492">
        <w:rPr>
          <w:rFonts w:ascii="Times New Roman" w:hAnsi="Times New Roman"/>
          <w:sz w:val="28"/>
          <w:szCs w:val="28"/>
          <w:lang w:val="uk-UA"/>
        </w:rPr>
        <w:t xml:space="preserve">Такі терміни для проведення технічного контролю придатності до експлуатації технічних засобів узгоджуються з відповідними термінами </w:t>
      </w:r>
      <w:r w:rsidRPr="00D53492">
        <w:rPr>
          <w:rFonts w:ascii="Times New Roman" w:hAnsi="Times New Roman"/>
          <w:i/>
          <w:sz w:val="28"/>
          <w:szCs w:val="28"/>
          <w:lang w:val="uk-UA"/>
        </w:rPr>
        <w:t xml:space="preserve">статті 5 Директиви 2014/45/ЄС. В Директиві 2014/45/ЄС </w:t>
      </w:r>
      <w:r w:rsidRPr="00D53492">
        <w:rPr>
          <w:rFonts w:ascii="Times New Roman" w:hAnsi="Times New Roman"/>
          <w:sz w:val="28"/>
          <w:szCs w:val="28"/>
          <w:lang w:val="uk-UA"/>
        </w:rPr>
        <w:t xml:space="preserve">за основу для більшості транспортних засобів застосовується термін у 2 роки для проведення технічного контролю. Державам-членам ЄС надається право також встановлювати більш жорсткі терміни в рамках тих, що передбачені в </w:t>
      </w:r>
      <w:r w:rsidRPr="00D53492">
        <w:rPr>
          <w:rFonts w:ascii="Times New Roman" w:hAnsi="Times New Roman"/>
          <w:i/>
          <w:sz w:val="28"/>
          <w:szCs w:val="28"/>
          <w:lang w:val="uk-UA"/>
        </w:rPr>
        <w:t>Директиві 2014/45/ЄС</w:t>
      </w:r>
      <w:r w:rsidRPr="00D53492">
        <w:rPr>
          <w:rFonts w:ascii="Times New Roman" w:hAnsi="Times New Roman"/>
          <w:sz w:val="28"/>
          <w:szCs w:val="28"/>
          <w:lang w:val="uk-UA"/>
        </w:rPr>
        <w:t xml:space="preserve"> з метою організації більш безпечного руху.</w:t>
      </w:r>
    </w:p>
    <w:p w:rsidR="00D53492" w:rsidRPr="00D53492" w:rsidRDefault="00D53492" w:rsidP="00D53492">
      <w:pPr>
        <w:spacing w:after="12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>На додаток,</w:t>
      </w:r>
      <w:r w:rsidRPr="00D53492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Pr="00D53492">
        <w:rPr>
          <w:rFonts w:ascii="Times New Roman" w:hAnsi="Times New Roman"/>
          <w:i/>
          <w:sz w:val="28"/>
          <w:szCs w:val="28"/>
          <w:lang w:val="uk-UA"/>
        </w:rPr>
        <w:t>пункту 24 преамбули Директиви 2014/45/ЄС</w:t>
      </w:r>
      <w:r w:rsidRPr="00D53492">
        <w:rPr>
          <w:rFonts w:ascii="Times New Roman" w:hAnsi="Times New Roman"/>
          <w:sz w:val="28"/>
          <w:szCs w:val="28"/>
          <w:lang w:val="uk-UA"/>
        </w:rPr>
        <w:t xml:space="preserve"> з метою кращого застосування принципу свободи пересування в межах Європейського Союзу та з метою перереєстрації транспортного засобу держави-члени ЄС повинні визнавати сертифікати технічної придатності, видані іншими державами-членами. Це не повинно впливати на право держави-члена перевіряти сертифікат технічної </w:t>
      </w:r>
      <w:r w:rsidRPr="00D53492">
        <w:rPr>
          <w:rFonts w:ascii="Times New Roman" w:hAnsi="Times New Roman"/>
          <w:sz w:val="28"/>
          <w:szCs w:val="28"/>
          <w:lang w:val="uk-UA"/>
        </w:rPr>
        <w:lastRenderedPageBreak/>
        <w:t>придатності та ідентифікацію транспортного засобу під час перереєстрації, а також вимагати проведення нового огляду технічного обслуговування відповідно до умов, викладених у цій Директиві.</w:t>
      </w:r>
    </w:p>
    <w:p w:rsidR="00D53492" w:rsidRPr="00D53492" w:rsidRDefault="00D53492" w:rsidP="00D53492">
      <w:pPr>
        <w:spacing w:after="12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Запропоноване </w:t>
      </w:r>
      <w:proofErr w:type="spellStart"/>
      <w:r w:rsidRPr="00D53492">
        <w:rPr>
          <w:rFonts w:ascii="Times New Roman" w:eastAsia="Times New Roman" w:hAnsi="Times New Roman"/>
          <w:sz w:val="28"/>
          <w:szCs w:val="28"/>
          <w:lang w:val="uk-UA"/>
        </w:rPr>
        <w:t>законопроєктом</w:t>
      </w:r>
      <w:proofErr w:type="spellEnd"/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 внесення змін до підпункту 27 пункту 1 статті 1 </w:t>
      </w:r>
      <w:r w:rsidRPr="00D53492">
        <w:rPr>
          <w:rFonts w:ascii="Times New Roman" w:hAnsi="Times New Roman"/>
          <w:sz w:val="28"/>
          <w:szCs w:val="28"/>
          <w:lang w:val="uk-UA"/>
        </w:rPr>
        <w:t>Закону України «Про систему інженерно-технічного забезпечення агропромислового комплексу України»</w:t>
      </w: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 визначення терміну «інспектор технічної служби» не містить формулювання щодо того, хто має надавати інспектору повноваження на право керування технічним </w:t>
      </w:r>
      <w:proofErr w:type="spellStart"/>
      <w:r w:rsidRPr="00D53492">
        <w:rPr>
          <w:rFonts w:ascii="Times New Roman" w:eastAsia="Times New Roman" w:hAnsi="Times New Roman"/>
          <w:sz w:val="28"/>
          <w:szCs w:val="28"/>
          <w:lang w:val="uk-UA"/>
        </w:rPr>
        <w:t>засособом</w:t>
      </w:r>
      <w:proofErr w:type="spellEnd"/>
      <w:r w:rsidRPr="00D53492">
        <w:rPr>
          <w:rFonts w:ascii="Times New Roman" w:eastAsia="Times New Roman" w:hAnsi="Times New Roman"/>
          <w:sz w:val="28"/>
          <w:szCs w:val="28"/>
          <w:lang w:val="uk-UA"/>
        </w:rPr>
        <w:t>, як передбачено Директивою 2014/45/ЄС.</w:t>
      </w:r>
    </w:p>
    <w:p w:rsidR="00D53492" w:rsidRPr="00D53492" w:rsidRDefault="00D53492" w:rsidP="00D53492">
      <w:pPr>
        <w:spacing w:after="12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Термін «інспектор», який зазначений в </w:t>
      </w:r>
      <w:r w:rsidRPr="00D53492">
        <w:rPr>
          <w:rFonts w:ascii="Times New Roman" w:eastAsia="Times New Roman" w:hAnsi="Times New Roman"/>
          <w:i/>
          <w:sz w:val="28"/>
          <w:szCs w:val="28"/>
          <w:lang w:val="uk-UA"/>
        </w:rPr>
        <w:t>пункті 13 статті 3 Директиви 2014/45/ЄС</w:t>
      </w: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 означає «</w:t>
      </w:r>
      <w:r w:rsidRPr="00D53492">
        <w:rPr>
          <w:rFonts w:ascii="Times New Roman" w:hAnsi="Times New Roman"/>
          <w:sz w:val="28"/>
          <w:szCs w:val="28"/>
          <w:lang w:val="uk-UA"/>
        </w:rPr>
        <w:t>особу, уповноважену державою-членом або її компетентним органом проводити технічне обслуговування в центрі випробувань або, за необхідності, від імені компетентного органу».</w:t>
      </w:r>
    </w:p>
    <w:p w:rsidR="00D53492" w:rsidRPr="00D53492" w:rsidRDefault="00D53492" w:rsidP="00D53492">
      <w:pPr>
        <w:spacing w:after="12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В пункті 1 статті 5 </w:t>
      </w:r>
      <w:proofErr w:type="spellStart"/>
      <w:r w:rsidRPr="00D53492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 акту містяться положення щодо суб'єктів системи інженерно-технічного забезпечення агропромислового комплексу та робиться посилання на вимоги </w:t>
      </w:r>
      <w:r w:rsidRPr="00D53492">
        <w:rPr>
          <w:rFonts w:ascii="Times New Roman" w:eastAsia="Times New Roman" w:hAnsi="Times New Roman"/>
          <w:i/>
          <w:sz w:val="28"/>
          <w:szCs w:val="28"/>
          <w:lang w:val="uk-UA"/>
        </w:rPr>
        <w:t>Директиви 2003/37/ЄС</w:t>
      </w: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 Європейського Парламенту та Ради ЄС від 26 травня 2003 р. Варто зазначити, що ця Директива втратила чинність 31.12.2015. Їй на заміну прийнято </w:t>
      </w:r>
      <w:r w:rsidRPr="00D53492">
        <w:rPr>
          <w:rFonts w:ascii="Times New Roman" w:eastAsia="Times New Roman" w:hAnsi="Times New Roman"/>
          <w:i/>
          <w:sz w:val="28"/>
          <w:szCs w:val="28"/>
          <w:lang w:val="uk-UA"/>
        </w:rPr>
        <w:t>Регламент 167/2013/ЄС</w:t>
      </w: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, положення якого фактично повністю дублюють </w:t>
      </w:r>
      <w:r w:rsidR="005B72A7">
        <w:rPr>
          <w:rFonts w:ascii="Times New Roman" w:eastAsia="Times New Roman" w:hAnsi="Times New Roman"/>
          <w:i/>
          <w:sz w:val="28"/>
          <w:szCs w:val="28"/>
          <w:lang w:val="uk-UA"/>
        </w:rPr>
        <w:t>Директиву</w:t>
      </w:r>
      <w:r w:rsidRPr="00D53492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2003/37/ЄС</w:t>
      </w: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r w:rsidR="00425F92" w:rsidRPr="00D53492">
        <w:rPr>
          <w:rFonts w:ascii="Times New Roman" w:eastAsia="Times New Roman" w:hAnsi="Times New Roman"/>
          <w:i/>
          <w:sz w:val="28"/>
          <w:szCs w:val="28"/>
          <w:lang w:val="uk-UA"/>
        </w:rPr>
        <w:t>Регламент 167/2013/ЄС</w:t>
      </w:r>
      <w:r w:rsidR="00425F92"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53492">
        <w:rPr>
          <w:rFonts w:ascii="Times New Roman" w:eastAsia="Times New Roman" w:hAnsi="Times New Roman"/>
          <w:sz w:val="28"/>
          <w:szCs w:val="28"/>
          <w:lang w:val="uk-UA"/>
        </w:rPr>
        <w:t>доповнено розширенням категорій транспортних засобів, на які розповсюджується вимога отримання сертифікату відповідності.</w:t>
      </w:r>
    </w:p>
    <w:p w:rsidR="009E1579" w:rsidRPr="00D53492" w:rsidRDefault="009E1579" w:rsidP="00D53492">
      <w:pPr>
        <w:tabs>
          <w:tab w:val="left" w:pos="851"/>
        </w:tabs>
        <w:spacing w:after="120" w:line="240" w:lineRule="auto"/>
        <w:ind w:left="-42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3492" w:rsidRPr="00D53492" w:rsidRDefault="00D53492" w:rsidP="00D53492">
      <w:pPr>
        <w:spacing w:after="120" w:line="240" w:lineRule="auto"/>
        <w:ind w:left="-425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bookmarkStart w:id="0" w:name="bookmark2"/>
      <w:r w:rsidRPr="00D53492">
        <w:rPr>
          <w:rFonts w:ascii="Times New Roman" w:eastAsia="Verdana" w:hAnsi="Times New Roman"/>
          <w:b/>
          <w:bCs/>
          <w:sz w:val="28"/>
          <w:szCs w:val="28"/>
          <w:lang w:val="uk-UA" w:eastAsia="ru-RU"/>
        </w:rPr>
        <w:t>4.</w:t>
      </w:r>
      <w:r w:rsidRPr="00D53492">
        <w:rPr>
          <w:rFonts w:ascii="Times New Roman" w:eastAsia="Verdana" w:hAnsi="Times New Roman"/>
          <w:bCs/>
          <w:sz w:val="28"/>
          <w:szCs w:val="28"/>
          <w:lang w:val="uk-UA" w:eastAsia="ru-RU"/>
        </w:rPr>
        <w:t>   </w:t>
      </w:r>
      <w:r w:rsidRPr="00D53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Висновок Комітету з питань інтеграції України до Європейського Союзу. </w:t>
      </w:r>
    </w:p>
    <w:bookmarkEnd w:id="0"/>
    <w:p w:rsidR="00CA02B3" w:rsidRPr="00CA02B3" w:rsidRDefault="00D53492" w:rsidP="00CA02B3">
      <w:pPr>
        <w:tabs>
          <w:tab w:val="left" w:pos="426"/>
        </w:tabs>
        <w:spacing w:after="120" w:line="240" w:lineRule="auto"/>
        <w:ind w:left="-425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</w:t>
      </w:r>
      <w:r w:rsidRPr="004830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 суперечить</w:t>
      </w:r>
      <w:r w:rsidRPr="00D53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зобов’язанням України відповідно до Угоди про асоціацію </w:t>
      </w:r>
      <w:r w:rsidRPr="00D53492">
        <w:rPr>
          <w:rFonts w:ascii="Times New Roman" w:eastAsia="Times New Roman" w:hAnsi="Times New Roman"/>
          <w:sz w:val="28"/>
          <w:szCs w:val="28"/>
          <w:lang w:val="uk-UA"/>
        </w:rPr>
        <w:t xml:space="preserve">та праву Європейського Союзу, проте </w:t>
      </w:r>
      <w:r w:rsidRPr="00B1059F">
        <w:rPr>
          <w:rFonts w:ascii="Times New Roman" w:eastAsia="Times New Roman" w:hAnsi="Times New Roman"/>
          <w:sz w:val="28"/>
          <w:szCs w:val="28"/>
          <w:lang w:val="uk-UA"/>
        </w:rPr>
        <w:t>потребує дооп</w:t>
      </w:r>
      <w:r w:rsidR="00CA02B3" w:rsidRPr="00B1059F">
        <w:rPr>
          <w:rFonts w:ascii="Times New Roman" w:eastAsia="Times New Roman" w:hAnsi="Times New Roman"/>
          <w:sz w:val="28"/>
          <w:szCs w:val="28"/>
          <w:lang w:val="uk-UA"/>
        </w:rPr>
        <w:t>рацювання</w:t>
      </w:r>
      <w:r w:rsidR="00CA02B3">
        <w:rPr>
          <w:rFonts w:ascii="Times New Roman" w:eastAsia="Times New Roman" w:hAnsi="Times New Roman"/>
          <w:sz w:val="28"/>
          <w:szCs w:val="28"/>
          <w:lang w:val="uk-UA"/>
        </w:rPr>
        <w:t xml:space="preserve"> у </w:t>
      </w:r>
      <w:r w:rsidR="00CA02B3" w:rsidRPr="007D3F14">
        <w:rPr>
          <w:rFonts w:ascii="Times New Roman" w:eastAsia="Times New Roman" w:hAnsi="Times New Roman"/>
          <w:sz w:val="28"/>
          <w:szCs w:val="28"/>
          <w:lang w:val="uk-UA"/>
        </w:rPr>
        <w:t xml:space="preserve">визначенні термінів, </w:t>
      </w:r>
      <w:r w:rsidR="004830C9">
        <w:rPr>
          <w:rFonts w:ascii="Times New Roman" w:eastAsia="Times New Roman" w:hAnsi="Times New Roman"/>
          <w:sz w:val="28"/>
          <w:szCs w:val="28"/>
          <w:lang w:val="uk-UA"/>
        </w:rPr>
        <w:t xml:space="preserve">здійсненні </w:t>
      </w:r>
      <w:r w:rsidR="00CA02B3" w:rsidRPr="007D3F14">
        <w:rPr>
          <w:rFonts w:ascii="Times New Roman" w:hAnsi="Times New Roman"/>
          <w:sz w:val="28"/>
          <w:szCs w:val="28"/>
          <w:lang w:val="uk-UA"/>
        </w:rPr>
        <w:t>посилань на нормативно-правові акти Європейського Союзу та</w:t>
      </w:r>
      <w:r w:rsidR="004830C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="00CA02B3" w:rsidRPr="007D3F14">
        <w:rPr>
          <w:rFonts w:ascii="Times New Roman" w:hAnsi="Times New Roman"/>
          <w:sz w:val="28"/>
          <w:szCs w:val="28"/>
          <w:lang w:val="uk-UA"/>
        </w:rPr>
        <w:t xml:space="preserve">Регламенту </w:t>
      </w:r>
      <w:r w:rsidR="007D3F14" w:rsidRPr="007D3F14">
        <w:rPr>
          <w:rFonts w:ascii="Times New Roman" w:eastAsia="Times New Roman" w:hAnsi="Times New Roman"/>
          <w:sz w:val="28"/>
          <w:szCs w:val="28"/>
          <w:lang w:val="uk-UA"/>
        </w:rPr>
        <w:t>167/2013/ЄС</w:t>
      </w:r>
      <w:r w:rsidR="007D3F1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D53492" w:rsidRPr="00D53492" w:rsidRDefault="00D53492" w:rsidP="00D5349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17EC" w:rsidRPr="00C44D75" w:rsidRDefault="00F517EC" w:rsidP="00D56455">
      <w:pPr>
        <w:spacing w:after="0" w:line="240" w:lineRule="auto"/>
        <w:ind w:left="-426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sectPr w:rsidR="00F517EC" w:rsidRPr="00C44D75" w:rsidSect="00CC2FA6">
      <w:headerReference w:type="default" r:id="rId11"/>
      <w:headerReference w:type="first" r:id="rId12"/>
      <w:footerReference w:type="first" r:id="rId13"/>
      <w:pgSz w:w="11906" w:h="16838"/>
      <w:pgMar w:top="1134" w:right="567" w:bottom="1134" w:left="1701" w:header="107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45" w:rsidRDefault="00303445" w:rsidP="005E306B">
      <w:pPr>
        <w:spacing w:after="0" w:line="240" w:lineRule="auto"/>
      </w:pPr>
      <w:r>
        <w:separator/>
      </w:r>
    </w:p>
  </w:endnote>
  <w:endnote w:type="continuationSeparator" w:id="0">
    <w:p w:rsidR="00303445" w:rsidRDefault="0030344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303445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45" w:rsidRDefault="00303445" w:rsidP="005E306B">
      <w:pPr>
        <w:spacing w:after="0" w:line="240" w:lineRule="auto"/>
      </w:pPr>
      <w:r>
        <w:separator/>
      </w:r>
    </w:p>
  </w:footnote>
  <w:footnote w:type="continuationSeparator" w:id="0">
    <w:p w:rsidR="00303445" w:rsidRDefault="00303445" w:rsidP="005E306B">
      <w:pPr>
        <w:spacing w:after="0" w:line="240" w:lineRule="auto"/>
      </w:pPr>
      <w:r>
        <w:continuationSeparator/>
      </w:r>
    </w:p>
  </w:footnote>
  <w:footnote w:id="1">
    <w:p w:rsidR="00F517EC" w:rsidRPr="000D2D10" w:rsidRDefault="00F517EC" w:rsidP="00F517EC">
      <w:pPr>
        <w:pStyle w:val="ac"/>
        <w:ind w:left="-426"/>
        <w:jc w:val="both"/>
      </w:pPr>
      <w:r>
        <w:rPr>
          <w:rStyle w:val="ab"/>
        </w:rPr>
        <w:footnoteRef/>
      </w:r>
      <w:r>
        <w:t xml:space="preserve"> </w:t>
      </w:r>
      <w:r w:rsidRPr="009969AA">
        <w:rPr>
          <w:sz w:val="24"/>
          <w:szCs w:val="24"/>
          <w:lang w:eastAsia="uk-UA"/>
        </w:rPr>
        <w:t xml:space="preserve">Комітет розглянув </w:t>
      </w:r>
      <w:proofErr w:type="spellStart"/>
      <w:r w:rsidRPr="009969AA">
        <w:rPr>
          <w:sz w:val="24"/>
          <w:szCs w:val="24"/>
          <w:lang w:eastAsia="uk-UA"/>
        </w:rPr>
        <w:t>проє</w:t>
      </w:r>
      <w:r>
        <w:rPr>
          <w:sz w:val="24"/>
          <w:szCs w:val="24"/>
          <w:lang w:eastAsia="uk-UA"/>
        </w:rPr>
        <w:t>кт</w:t>
      </w:r>
      <w:proofErr w:type="spellEnd"/>
      <w:r>
        <w:rPr>
          <w:sz w:val="24"/>
          <w:szCs w:val="24"/>
          <w:lang w:eastAsia="uk-UA"/>
        </w:rPr>
        <w:t xml:space="preserve"> Закону на своєму засіданні 21 січня 2022 року (протокол № 94</w:t>
      </w:r>
      <w:r w:rsidRPr="009969AA">
        <w:rPr>
          <w:sz w:val="24"/>
          <w:szCs w:val="24"/>
          <w:lang w:eastAsia="uk-UA"/>
        </w:rPr>
        <w:t>) відповідно до статті 93 Регламенту Верховної Ради України.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21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C4918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C2FA6" w:rsidP="00CC2FA6">
          <w:pPr>
            <w:pStyle w:val="a3"/>
            <w:tabs>
              <w:tab w:val="clear" w:pos="4677"/>
              <w:tab w:val="clear" w:pos="9355"/>
              <w:tab w:val="left" w:pos="6549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3900866</wp:posOffset>
                </wp:positionH>
                <wp:positionV relativeFrom="paragraph">
                  <wp:posOffset>0</wp:posOffset>
                </wp:positionV>
                <wp:extent cx="461010" cy="636905"/>
                <wp:effectExtent l="0" t="0" r="0" b="0"/>
                <wp:wrapSquare wrapText="bothSides"/>
                <wp:docPr id="9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19322A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          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C2FA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            </w:t>
          </w:r>
          <w:r w:rsidR="00C86266"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E85C2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до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Європейськ</w:t>
          </w:r>
          <w:r w:rsidR="00E85C2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ого Союзу</w:t>
          </w:r>
        </w:p>
        <w:p w:rsidR="00C27AE9" w:rsidRPr="009865D4" w:rsidRDefault="00236343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               </w:t>
          </w:r>
          <w:r w:rsidR="00CC2FA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80545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 w:rsidR="0080545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0"/>
      <w:gridCol w:w="9639"/>
      <w:gridCol w:w="568"/>
    </w:tblGrid>
    <w:tr w:rsidR="00B55DE0" w:rsidRPr="00053776" w:rsidTr="00363436">
      <w:tc>
        <w:tcPr>
          <w:tcW w:w="1680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639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568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07C7"/>
    <w:multiLevelType w:val="hybridMultilevel"/>
    <w:tmpl w:val="133E9AF0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831608"/>
    <w:multiLevelType w:val="hybridMultilevel"/>
    <w:tmpl w:val="5CF2433A"/>
    <w:lvl w:ilvl="0" w:tplc="F976CC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F1586"/>
    <w:rsid w:val="000F175D"/>
    <w:rsid w:val="001005C8"/>
    <w:rsid w:val="00110664"/>
    <w:rsid w:val="00141617"/>
    <w:rsid w:val="00187AF7"/>
    <w:rsid w:val="0019108F"/>
    <w:rsid w:val="0019322A"/>
    <w:rsid w:val="001966F0"/>
    <w:rsid w:val="001D3C24"/>
    <w:rsid w:val="001E2C27"/>
    <w:rsid w:val="001F6A06"/>
    <w:rsid w:val="0021032F"/>
    <w:rsid w:val="002247E9"/>
    <w:rsid w:val="00235CD7"/>
    <w:rsid w:val="00236343"/>
    <w:rsid w:val="002A5D4C"/>
    <w:rsid w:val="002B5FC1"/>
    <w:rsid w:val="002C276F"/>
    <w:rsid w:val="002D0561"/>
    <w:rsid w:val="002E0A18"/>
    <w:rsid w:val="002E31BF"/>
    <w:rsid w:val="002E44DA"/>
    <w:rsid w:val="00303445"/>
    <w:rsid w:val="00317BB0"/>
    <w:rsid w:val="00363436"/>
    <w:rsid w:val="003D0996"/>
    <w:rsid w:val="003D14B2"/>
    <w:rsid w:val="003D1CBA"/>
    <w:rsid w:val="003E44B4"/>
    <w:rsid w:val="004116C6"/>
    <w:rsid w:val="00412CB7"/>
    <w:rsid w:val="00424B1C"/>
    <w:rsid w:val="00425F92"/>
    <w:rsid w:val="00440E29"/>
    <w:rsid w:val="00451750"/>
    <w:rsid w:val="004830C9"/>
    <w:rsid w:val="004852FA"/>
    <w:rsid w:val="004C53C1"/>
    <w:rsid w:val="004E4F5C"/>
    <w:rsid w:val="004F6A56"/>
    <w:rsid w:val="004F7B8A"/>
    <w:rsid w:val="0050620F"/>
    <w:rsid w:val="0051601C"/>
    <w:rsid w:val="00545919"/>
    <w:rsid w:val="0055005A"/>
    <w:rsid w:val="0056039F"/>
    <w:rsid w:val="0056352F"/>
    <w:rsid w:val="005A4728"/>
    <w:rsid w:val="005B71F5"/>
    <w:rsid w:val="005B72A7"/>
    <w:rsid w:val="005C1C39"/>
    <w:rsid w:val="005C674D"/>
    <w:rsid w:val="005E306B"/>
    <w:rsid w:val="005E4898"/>
    <w:rsid w:val="005F20B5"/>
    <w:rsid w:val="00626A3E"/>
    <w:rsid w:val="00660B13"/>
    <w:rsid w:val="0066623D"/>
    <w:rsid w:val="00687E94"/>
    <w:rsid w:val="006C744E"/>
    <w:rsid w:val="006F10E8"/>
    <w:rsid w:val="00713E93"/>
    <w:rsid w:val="007204E1"/>
    <w:rsid w:val="0073224C"/>
    <w:rsid w:val="0075720E"/>
    <w:rsid w:val="007A0252"/>
    <w:rsid w:val="007D3F14"/>
    <w:rsid w:val="007F5D91"/>
    <w:rsid w:val="0080545D"/>
    <w:rsid w:val="0084269F"/>
    <w:rsid w:val="008B7F7F"/>
    <w:rsid w:val="008C4918"/>
    <w:rsid w:val="009150C8"/>
    <w:rsid w:val="00917F24"/>
    <w:rsid w:val="00945B68"/>
    <w:rsid w:val="00957D31"/>
    <w:rsid w:val="009865D4"/>
    <w:rsid w:val="009A720A"/>
    <w:rsid w:val="009E1579"/>
    <w:rsid w:val="00A00059"/>
    <w:rsid w:val="00A5290D"/>
    <w:rsid w:val="00A60747"/>
    <w:rsid w:val="00A610A8"/>
    <w:rsid w:val="00A7635E"/>
    <w:rsid w:val="00A76A60"/>
    <w:rsid w:val="00A7782C"/>
    <w:rsid w:val="00A833C8"/>
    <w:rsid w:val="00AC4ABF"/>
    <w:rsid w:val="00AD7F82"/>
    <w:rsid w:val="00B1059F"/>
    <w:rsid w:val="00B311E8"/>
    <w:rsid w:val="00B55DE0"/>
    <w:rsid w:val="00B6717E"/>
    <w:rsid w:val="00B67B1A"/>
    <w:rsid w:val="00BB1827"/>
    <w:rsid w:val="00BD0801"/>
    <w:rsid w:val="00BF1E95"/>
    <w:rsid w:val="00C11FB6"/>
    <w:rsid w:val="00C25388"/>
    <w:rsid w:val="00C27AE9"/>
    <w:rsid w:val="00C44D75"/>
    <w:rsid w:val="00C86266"/>
    <w:rsid w:val="00CA02B3"/>
    <w:rsid w:val="00CA08C5"/>
    <w:rsid w:val="00CA7044"/>
    <w:rsid w:val="00CB69B6"/>
    <w:rsid w:val="00CC2FA6"/>
    <w:rsid w:val="00CC39A1"/>
    <w:rsid w:val="00CD4A38"/>
    <w:rsid w:val="00CE3E1B"/>
    <w:rsid w:val="00CE6A4B"/>
    <w:rsid w:val="00CF6ACA"/>
    <w:rsid w:val="00D10F4B"/>
    <w:rsid w:val="00D2186F"/>
    <w:rsid w:val="00D22048"/>
    <w:rsid w:val="00D242C2"/>
    <w:rsid w:val="00D37FA2"/>
    <w:rsid w:val="00D52549"/>
    <w:rsid w:val="00D53492"/>
    <w:rsid w:val="00D56455"/>
    <w:rsid w:val="00D57E1B"/>
    <w:rsid w:val="00D91A4F"/>
    <w:rsid w:val="00DA62F1"/>
    <w:rsid w:val="00DF0115"/>
    <w:rsid w:val="00E3142C"/>
    <w:rsid w:val="00E56E95"/>
    <w:rsid w:val="00E73887"/>
    <w:rsid w:val="00E85C22"/>
    <w:rsid w:val="00E870BB"/>
    <w:rsid w:val="00F517EC"/>
    <w:rsid w:val="00F55423"/>
    <w:rsid w:val="00F569AA"/>
    <w:rsid w:val="00F61157"/>
    <w:rsid w:val="00F85D51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B2D99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64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56455"/>
    <w:rPr>
      <w:rFonts w:ascii="Consolas" w:hAnsi="Consolas"/>
      <w:sz w:val="20"/>
      <w:szCs w:val="20"/>
      <w:lang w:val="ru-RU"/>
    </w:rPr>
  </w:style>
  <w:style w:type="character" w:styleId="ab">
    <w:name w:val="footnote reference"/>
    <w:basedOn w:val="a0"/>
    <w:unhideWhenUsed/>
    <w:rsid w:val="00D56455"/>
    <w:rPr>
      <w:vertAlign w:val="superscript"/>
    </w:rPr>
  </w:style>
  <w:style w:type="paragraph" w:styleId="ac">
    <w:name w:val="footnote text"/>
    <w:basedOn w:val="a"/>
    <w:link w:val="ad"/>
    <w:semiHidden/>
    <w:unhideWhenUsed/>
    <w:rsid w:val="00D56455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d">
    <w:name w:val="Текст виноски Знак"/>
    <w:basedOn w:val="a0"/>
    <w:link w:val="ac"/>
    <w:semiHidden/>
    <w:rsid w:val="00D56455"/>
    <w:rPr>
      <w:rFonts w:ascii="Times New Roman" w:eastAsia="Times New Roman" w:hAnsi="Times New Roman"/>
      <w:sz w:val="20"/>
      <w:szCs w:val="20"/>
      <w:lang w:val="uk-UA" w:eastAsia="ru-RU"/>
    </w:rPr>
  </w:style>
  <w:style w:type="table" w:customStyle="1" w:styleId="1">
    <w:name w:val="Сетка таблицы1"/>
    <w:basedOn w:val="a1"/>
    <w:uiPriority w:val="39"/>
    <w:rsid w:val="006C744E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776F-D9BC-44EA-BCC9-3E88DD4C2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7289A-2BA6-4282-B55F-2F989C5B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16329-843A-4C5D-9DB2-4C0CAEE1F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F18176-3B64-475D-AB5C-BFBA21DC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3817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 Вікторівна Найденко</dc:creator>
  <cp:keywords/>
  <dc:description/>
  <cp:lastModifiedBy>Мартинов Юрій Петрович</cp:lastModifiedBy>
  <cp:revision>34</cp:revision>
  <cp:lastPrinted>2022-01-14T09:43:00Z</cp:lastPrinted>
  <dcterms:created xsi:type="dcterms:W3CDTF">2022-01-13T13:11:00Z</dcterms:created>
  <dcterms:modified xsi:type="dcterms:W3CDTF">2022-01-21T12:40:00Z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