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46" w:rsidRPr="00C9768D" w:rsidRDefault="00FB3446" w:rsidP="00F12B93">
      <w:pPr>
        <w:ind w:left="-426"/>
        <w:jc w:val="right"/>
        <w:outlineLvl w:val="4"/>
        <w:rPr>
          <w:b/>
          <w:bCs/>
        </w:rPr>
      </w:pPr>
    </w:p>
    <w:p w:rsidR="009969AA" w:rsidRPr="00701B70" w:rsidRDefault="009969AA" w:rsidP="009969AA">
      <w:pPr>
        <w:ind w:left="-426"/>
        <w:jc w:val="center"/>
        <w:outlineLvl w:val="4"/>
        <w:rPr>
          <w:b/>
          <w:bCs/>
        </w:rPr>
      </w:pPr>
      <w:r w:rsidRPr="00701B70">
        <w:rPr>
          <w:b/>
          <w:bCs/>
        </w:rPr>
        <w:t>ВИСНОВОК</w:t>
      </w:r>
      <w:r w:rsidR="00A53B68">
        <w:rPr>
          <w:rStyle w:val="a5"/>
          <w:b/>
          <w:bCs/>
        </w:rPr>
        <w:footnoteReference w:id="1"/>
      </w:r>
    </w:p>
    <w:p w:rsidR="009969AA" w:rsidRPr="00701B70" w:rsidRDefault="009969AA" w:rsidP="007A5F19">
      <w:pPr>
        <w:ind w:left="-426"/>
        <w:jc w:val="center"/>
        <w:outlineLvl w:val="4"/>
        <w:rPr>
          <w:b/>
        </w:rPr>
      </w:pPr>
      <w:r w:rsidRPr="00701B70">
        <w:rPr>
          <w:b/>
        </w:rPr>
        <w:t xml:space="preserve">щодо </w:t>
      </w:r>
      <w:proofErr w:type="spellStart"/>
      <w:r w:rsidRPr="00701B70">
        <w:rPr>
          <w:b/>
        </w:rPr>
        <w:t>проєкту</w:t>
      </w:r>
      <w:proofErr w:type="spellEnd"/>
      <w:r w:rsidRPr="00701B70">
        <w:rPr>
          <w:b/>
        </w:rPr>
        <w:t xml:space="preserve"> Закону України «</w:t>
      </w:r>
      <w:r w:rsidR="007A5F19" w:rsidRPr="00701B70">
        <w:rPr>
          <w:b/>
        </w:rPr>
        <w:t>Про в</w:t>
      </w:r>
      <w:r w:rsidR="00701B70" w:rsidRPr="00701B70">
        <w:rPr>
          <w:b/>
        </w:rPr>
        <w:t>несення змін до Закону України «</w:t>
      </w:r>
      <w:r w:rsidR="007A5F19" w:rsidRPr="00701B70">
        <w:rPr>
          <w:b/>
        </w:rPr>
        <w:t xml:space="preserve">Про Національне агентство України з питань виявлення, розшуку та управління активами, одержаними від </w:t>
      </w:r>
      <w:r w:rsidR="00701B70" w:rsidRPr="00701B70">
        <w:rPr>
          <w:b/>
        </w:rPr>
        <w:t>корупційних та інших злочинів»</w:t>
      </w:r>
      <w:r w:rsidR="007A5F19" w:rsidRPr="00701B70">
        <w:rPr>
          <w:b/>
        </w:rPr>
        <w:t xml:space="preserve"> щодо розширення доступу до джерел інформації для цілей виявлення та розшуку активів</w:t>
      </w:r>
      <w:r w:rsidRPr="00701B70">
        <w:rPr>
          <w:b/>
        </w:rPr>
        <w:t xml:space="preserve">» </w:t>
      </w:r>
    </w:p>
    <w:p w:rsidR="009969AA" w:rsidRPr="00701B70" w:rsidRDefault="009969AA" w:rsidP="009969AA">
      <w:pPr>
        <w:ind w:left="-426"/>
        <w:jc w:val="center"/>
        <w:outlineLvl w:val="4"/>
        <w:rPr>
          <w:b/>
        </w:rPr>
      </w:pPr>
      <w:r w:rsidRPr="00701B70">
        <w:rPr>
          <w:b/>
        </w:rPr>
        <w:t>(реєстр. № </w:t>
      </w:r>
      <w:r w:rsidR="007A5F19" w:rsidRPr="00701B70">
        <w:rPr>
          <w:b/>
        </w:rPr>
        <w:t>6201</w:t>
      </w:r>
      <w:r w:rsidRPr="00701B70">
        <w:rPr>
          <w:b/>
        </w:rPr>
        <w:t xml:space="preserve"> від </w:t>
      </w:r>
      <w:r w:rsidR="007A5F19" w:rsidRPr="00701B70">
        <w:rPr>
          <w:b/>
        </w:rPr>
        <w:t>21.10</w:t>
      </w:r>
      <w:r w:rsidRPr="00701B70">
        <w:rPr>
          <w:b/>
        </w:rPr>
        <w:t xml:space="preserve">.2021 р., </w:t>
      </w:r>
      <w:r w:rsidR="007A5F19" w:rsidRPr="00701B70">
        <w:rPr>
          <w:b/>
        </w:rPr>
        <w:t>КМУ,</w:t>
      </w:r>
      <w:r w:rsidRPr="00701B70">
        <w:rPr>
          <w:b/>
        </w:rPr>
        <w:t> </w:t>
      </w:r>
      <w:r w:rsidR="007A5F19" w:rsidRPr="00701B70">
        <w:rPr>
          <w:b/>
        </w:rPr>
        <w:t>Д</w:t>
      </w:r>
      <w:r w:rsidRPr="00701B70">
        <w:rPr>
          <w:b/>
        </w:rPr>
        <w:t>.</w:t>
      </w:r>
      <w:r w:rsidR="000C71F2" w:rsidRPr="00701B70">
        <w:rPr>
          <w:b/>
        </w:rPr>
        <w:t xml:space="preserve"> </w:t>
      </w:r>
      <w:proofErr w:type="spellStart"/>
      <w:r w:rsidR="007A5F19" w:rsidRPr="00701B70">
        <w:rPr>
          <w:b/>
        </w:rPr>
        <w:t>Шмигаль</w:t>
      </w:r>
      <w:proofErr w:type="spellEnd"/>
      <w:r w:rsidRPr="00701B70">
        <w:rPr>
          <w:b/>
        </w:rPr>
        <w:t>)</w:t>
      </w:r>
    </w:p>
    <w:p w:rsidR="009969AA" w:rsidRPr="00701B70" w:rsidRDefault="009969AA" w:rsidP="009969AA">
      <w:pPr>
        <w:ind w:left="-426" w:firstLine="567"/>
        <w:jc w:val="center"/>
        <w:outlineLvl w:val="4"/>
        <w:rPr>
          <w:b/>
        </w:rPr>
      </w:pPr>
    </w:p>
    <w:p w:rsidR="00470C3C" w:rsidRPr="00701B70" w:rsidRDefault="009969AA" w:rsidP="00470C3C">
      <w:pPr>
        <w:ind w:left="-426" w:firstLine="567"/>
        <w:jc w:val="both"/>
        <w:rPr>
          <w:b/>
        </w:rPr>
      </w:pPr>
      <w:r w:rsidRPr="00701B70">
        <w:rPr>
          <w:b/>
        </w:rPr>
        <w:t xml:space="preserve">1. Загальна характеристика </w:t>
      </w:r>
      <w:proofErr w:type="spellStart"/>
      <w:r w:rsidRPr="00701B70">
        <w:rPr>
          <w:b/>
        </w:rPr>
        <w:t>законопроєкту</w:t>
      </w:r>
      <w:proofErr w:type="spellEnd"/>
      <w:r w:rsidRPr="00701B70">
        <w:rPr>
          <w:b/>
        </w:rPr>
        <w:t>.</w:t>
      </w:r>
    </w:p>
    <w:p w:rsidR="00FB3446" w:rsidRPr="00701B70" w:rsidRDefault="00C90D67" w:rsidP="00470C3C">
      <w:pPr>
        <w:ind w:left="-426" w:firstLine="567"/>
        <w:jc w:val="both"/>
        <w:rPr>
          <w:b/>
        </w:rPr>
      </w:pPr>
      <w:r w:rsidRPr="00701B70">
        <w:t xml:space="preserve">Відповідно до пояснювальної записки, метою </w:t>
      </w:r>
      <w:proofErr w:type="spellStart"/>
      <w:r w:rsidRPr="00701B70">
        <w:t>законопроєкту</w:t>
      </w:r>
      <w:proofErr w:type="spellEnd"/>
      <w:r w:rsidRPr="00701B70">
        <w:t xml:space="preserve"> є </w:t>
      </w:r>
      <w:r w:rsidR="007A5F19" w:rsidRPr="00701B70">
        <w:t>підвищення прозорості сфери виявлення, розшуку активів, розширення доступу АРМА до джерел інформації, а також забезпечення ефективної міжвідомчої взаємодії у сфері виявлення, розшуку, управління активами, одержаними від корупційних та інших злочинів.</w:t>
      </w:r>
    </w:p>
    <w:p w:rsidR="00470C3C" w:rsidRPr="00701B70" w:rsidRDefault="009969AA" w:rsidP="00470C3C">
      <w:pPr>
        <w:ind w:left="-426" w:firstLine="567"/>
        <w:jc w:val="both"/>
        <w:rPr>
          <w:b/>
          <w:bCs/>
        </w:rPr>
      </w:pPr>
      <w:r w:rsidRPr="00701B70">
        <w:rPr>
          <w:rFonts w:eastAsia="Verdana"/>
          <w:b/>
          <w:bCs/>
        </w:rPr>
        <w:t>2.  </w:t>
      </w:r>
      <w:r w:rsidRPr="00701B70">
        <w:rPr>
          <w:b/>
          <w:bCs/>
        </w:rPr>
        <w:t xml:space="preserve">Належність </w:t>
      </w:r>
      <w:proofErr w:type="spellStart"/>
      <w:r w:rsidRPr="00701B70">
        <w:rPr>
          <w:b/>
          <w:bCs/>
        </w:rPr>
        <w:t>законопроєкту</w:t>
      </w:r>
      <w:proofErr w:type="spellEnd"/>
      <w:r w:rsidRPr="00701B70">
        <w:rPr>
          <w:b/>
          <w:bCs/>
        </w:rPr>
        <w:t xml:space="preserve"> за предметом правового регулювання до </w:t>
      </w:r>
      <w:r w:rsidR="00DD4C0B" w:rsidRPr="00701B70">
        <w:rPr>
          <w:b/>
          <w:bCs/>
        </w:rPr>
        <w:t>міжнародно-правових зобов’язань України в сфері європейської інтеграції та</w:t>
      </w:r>
      <w:r w:rsidRPr="00701B70">
        <w:rPr>
          <w:b/>
          <w:bCs/>
        </w:rPr>
        <w:t xml:space="preserve"> </w:t>
      </w:r>
      <w:r w:rsidR="00DD4C0B" w:rsidRPr="00701B70">
        <w:rPr>
          <w:b/>
          <w:bCs/>
        </w:rPr>
        <w:t xml:space="preserve">сфери дії </w:t>
      </w:r>
      <w:r w:rsidRPr="00701B70">
        <w:rPr>
          <w:b/>
          <w:bCs/>
        </w:rPr>
        <w:t>права Європейського Союзу.</w:t>
      </w:r>
    </w:p>
    <w:p w:rsidR="00470C3C" w:rsidRPr="00701B70" w:rsidRDefault="00F9701F" w:rsidP="00470C3C">
      <w:pPr>
        <w:ind w:left="-426" w:firstLine="567"/>
        <w:jc w:val="both"/>
        <w:rPr>
          <w:b/>
          <w:bCs/>
        </w:rPr>
      </w:pPr>
      <w:r w:rsidRPr="00701B70">
        <w:rPr>
          <w:rFonts w:eastAsia="Arial Unicode MS" w:cs="Arial Unicode MS"/>
          <w:u w:color="000000"/>
          <w:lang w:eastAsia="uk-UA"/>
        </w:rPr>
        <w:t xml:space="preserve">Предмет </w:t>
      </w:r>
      <w:r w:rsidR="00185D86" w:rsidRPr="00701B70">
        <w:rPr>
          <w:rFonts w:eastAsia="Arial Unicode MS" w:cs="Arial Unicode MS"/>
          <w:u w:color="000000"/>
          <w:lang w:eastAsia="uk-UA"/>
        </w:rPr>
        <w:t xml:space="preserve">правового регулювання </w:t>
      </w:r>
      <w:proofErr w:type="spellStart"/>
      <w:r w:rsidR="00185D86" w:rsidRPr="00701B70">
        <w:rPr>
          <w:rFonts w:eastAsia="Arial Unicode MS" w:cs="Arial Unicode MS"/>
          <w:u w:color="000000"/>
          <w:lang w:eastAsia="uk-UA"/>
        </w:rPr>
        <w:t>законопроє</w:t>
      </w:r>
      <w:r w:rsidR="00470C3C" w:rsidRPr="00701B70">
        <w:rPr>
          <w:rFonts w:eastAsia="Arial Unicode MS" w:cs="Arial Unicode MS"/>
          <w:u w:color="000000"/>
          <w:lang w:eastAsia="uk-UA"/>
        </w:rPr>
        <w:t>кту</w:t>
      </w:r>
      <w:proofErr w:type="spellEnd"/>
      <w:r w:rsidR="00470C3C" w:rsidRPr="00701B70">
        <w:rPr>
          <w:rFonts w:eastAsia="Arial Unicode MS" w:cs="Arial Unicode MS"/>
          <w:u w:color="000000"/>
          <w:lang w:eastAsia="uk-UA"/>
        </w:rPr>
        <w:t xml:space="preserve"> охоплюється положеннями</w:t>
      </w:r>
      <w:r w:rsidR="00470C3C" w:rsidRPr="00701B70">
        <w:rPr>
          <w:b/>
          <w:bCs/>
        </w:rPr>
        <w:t xml:space="preserve"> </w:t>
      </w:r>
      <w:r w:rsidRPr="00701B70">
        <w:rPr>
          <w:rFonts w:eastAsia="Arial Unicode MS" w:cs="Arial Unicode MS"/>
          <w:u w:color="000000"/>
          <w:lang w:eastAsia="uk-UA"/>
        </w:rPr>
        <w:t xml:space="preserve">статті </w:t>
      </w:r>
      <w:r w:rsidR="007A5F19" w:rsidRPr="00701B70">
        <w:t>22 «Боротьба зі злочинністю та корупцією»</w:t>
      </w:r>
      <w:r w:rsidRPr="00701B70">
        <w:t xml:space="preserve"> Розділу ІІІ «Юстиція, свобода та безпека» </w:t>
      </w:r>
      <w:r w:rsidRPr="00701B70">
        <w:rPr>
          <w:rFonts w:eastAsia="Arial Unicode MS" w:cs="Arial Unicode MS"/>
          <w:u w:color="000000"/>
          <w:lang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525511" w:rsidRPr="00701B70" w:rsidRDefault="009969AA" w:rsidP="00470C3C">
      <w:pPr>
        <w:ind w:left="-426" w:firstLine="567"/>
        <w:jc w:val="both"/>
        <w:rPr>
          <w:b/>
          <w:bCs/>
        </w:rPr>
      </w:pPr>
      <w:r w:rsidRPr="00701B70">
        <w:t xml:space="preserve">Правовідносини, які є предметом правового регулювання </w:t>
      </w:r>
      <w:proofErr w:type="spellStart"/>
      <w:r w:rsidRPr="00701B70">
        <w:t>законопроєкту</w:t>
      </w:r>
      <w:proofErr w:type="spellEnd"/>
      <w:r w:rsidRPr="00701B70">
        <w:t>, в Європейському Союзі регулюються:</w:t>
      </w:r>
    </w:p>
    <w:p w:rsidR="009A433F" w:rsidRPr="00701B70" w:rsidRDefault="00C9768D" w:rsidP="00470C3C">
      <w:pPr>
        <w:pStyle w:val="ac"/>
        <w:numPr>
          <w:ilvl w:val="0"/>
          <w:numId w:val="1"/>
        </w:numPr>
        <w:tabs>
          <w:tab w:val="left" w:pos="426"/>
        </w:tabs>
        <w:ind w:left="426"/>
        <w:jc w:val="both"/>
        <w:rPr>
          <w:i/>
        </w:rPr>
      </w:pPr>
      <w:r w:rsidRPr="00701B70">
        <w:rPr>
          <w:i/>
        </w:rPr>
        <w:t>Конвенцією Організації Об'єднаних Націй проти корупції від 18.10.2006</w:t>
      </w:r>
      <w:r w:rsidR="009969AA" w:rsidRPr="00701B70">
        <w:rPr>
          <w:i/>
        </w:rPr>
        <w:t>;</w:t>
      </w:r>
    </w:p>
    <w:p w:rsidR="003A6443" w:rsidRPr="00701B70" w:rsidRDefault="00470C3C" w:rsidP="00470C3C">
      <w:pPr>
        <w:pStyle w:val="ac"/>
        <w:numPr>
          <w:ilvl w:val="0"/>
          <w:numId w:val="1"/>
        </w:numPr>
        <w:tabs>
          <w:tab w:val="left" w:pos="426"/>
        </w:tabs>
        <w:ind w:left="284" w:hanging="207"/>
        <w:jc w:val="both"/>
        <w:rPr>
          <w:i/>
        </w:rPr>
      </w:pPr>
      <w:r w:rsidRPr="00701B70">
        <w:rPr>
          <w:i/>
        </w:rPr>
        <w:t xml:space="preserve"> </w:t>
      </w:r>
      <w:r w:rsidR="000C37C3" w:rsidRPr="00701B70">
        <w:rPr>
          <w:i/>
        </w:rPr>
        <w:t>Директивою (ЄС) 2019/1153 Європейського Парламенту та Ради від 20 червня 2019 року, що встановлює правила, що сприяють використанню фінансової та іншої інформації для запобігання, виявлення, розслідування або переслідування певних кримінальних правопорушень, а також скасовує рішення Ради 2000/ 642/JHA</w:t>
      </w:r>
      <w:r w:rsidR="003A6443" w:rsidRPr="00701B70">
        <w:rPr>
          <w:i/>
        </w:rPr>
        <w:t>;</w:t>
      </w:r>
    </w:p>
    <w:p w:rsidR="001E0A5B" w:rsidRPr="00701B70" w:rsidRDefault="003A6443" w:rsidP="001E0A5B">
      <w:pPr>
        <w:pStyle w:val="ac"/>
        <w:numPr>
          <w:ilvl w:val="0"/>
          <w:numId w:val="1"/>
        </w:numPr>
        <w:tabs>
          <w:tab w:val="left" w:pos="426"/>
        </w:tabs>
        <w:ind w:left="284"/>
        <w:jc w:val="both"/>
        <w:rPr>
          <w:i/>
        </w:rPr>
      </w:pPr>
      <w:r w:rsidRPr="00701B70">
        <w:rPr>
          <w:i/>
        </w:rPr>
        <w:t xml:space="preserve">Директивою (ЄС) 2016/680 Європейського Парламенту та Ради від 27 квітня 2016 року про захист фізичних осіб щодо обробки персональних даних компетентними органами з метою запобігання, розслідування, виявлення або переслідування злочинних правопорушень або виконання кримінальних </w:t>
      </w:r>
      <w:r w:rsidRPr="00701B70">
        <w:rPr>
          <w:i/>
        </w:rPr>
        <w:lastRenderedPageBreak/>
        <w:t>покарань, а також щодо вільного переміщення таких даних, а також скасування Рамкового рішення Ради 2008/977/JHA</w:t>
      </w:r>
      <w:r w:rsidR="001E0A5B" w:rsidRPr="00701B70">
        <w:rPr>
          <w:i/>
        </w:rPr>
        <w:t>;</w:t>
      </w:r>
    </w:p>
    <w:p w:rsidR="001E0A5B" w:rsidRPr="00701B70" w:rsidRDefault="001E0A5B" w:rsidP="001E0A5B">
      <w:pPr>
        <w:pStyle w:val="ac"/>
        <w:numPr>
          <w:ilvl w:val="0"/>
          <w:numId w:val="1"/>
        </w:numPr>
        <w:tabs>
          <w:tab w:val="left" w:pos="426"/>
        </w:tabs>
        <w:ind w:left="284"/>
        <w:jc w:val="both"/>
        <w:rPr>
          <w:i/>
        </w:rPr>
      </w:pPr>
      <w:r w:rsidRPr="00701B70">
        <w:rPr>
          <w:i/>
        </w:rPr>
        <w:t>Регламент</w:t>
      </w:r>
      <w:r w:rsidR="00701B70">
        <w:rPr>
          <w:i/>
        </w:rPr>
        <w:t>ом</w:t>
      </w:r>
      <w:r w:rsidRPr="00701B70">
        <w:rPr>
          <w:i/>
        </w:rPr>
        <w:t xml:space="preserve"> (ЄС) 2016/679 Європейського Парламенту та Ради від 27 квітня 2016 року про захист фізичних осіб щодо обробки персональних даних та про вільне переміщення таких даних, а також про скасування Директиви 95/46/ЄС (Загальне положення про захист даних)</w:t>
      </w:r>
      <w:r w:rsidR="00701B70">
        <w:rPr>
          <w:i/>
        </w:rPr>
        <w:t>.</w:t>
      </w:r>
    </w:p>
    <w:p w:rsidR="00F15B21" w:rsidRPr="00701B70" w:rsidRDefault="009969AA" w:rsidP="00F15B21">
      <w:pPr>
        <w:spacing w:before="60"/>
        <w:ind w:left="-426" w:firstLine="567"/>
        <w:jc w:val="both"/>
        <w:rPr>
          <w:b/>
        </w:rPr>
      </w:pPr>
      <w:r w:rsidRPr="00701B70">
        <w:rPr>
          <w:rFonts w:eastAsia="Verdana"/>
          <w:b/>
          <w:bCs/>
        </w:rPr>
        <w:t>3.  </w:t>
      </w:r>
      <w:r w:rsidRPr="00701B70">
        <w:rPr>
          <w:b/>
        </w:rPr>
        <w:t xml:space="preserve">Відповідність </w:t>
      </w:r>
      <w:proofErr w:type="spellStart"/>
      <w:r w:rsidRPr="00701B70">
        <w:rPr>
          <w:b/>
        </w:rPr>
        <w:t>законопроєкту</w:t>
      </w:r>
      <w:proofErr w:type="spellEnd"/>
      <w:r w:rsidR="00DD4C0B" w:rsidRPr="00701B70">
        <w:rPr>
          <w:b/>
        </w:rPr>
        <w:t xml:space="preserve"> міжнародно-правовим зобов’язанням України в сфері європейської інтеграції</w:t>
      </w:r>
      <w:r w:rsidRPr="00701B70">
        <w:rPr>
          <w:b/>
        </w:rPr>
        <w:t xml:space="preserve"> </w:t>
      </w:r>
      <w:r w:rsidR="00DD4C0B" w:rsidRPr="00701B70">
        <w:rPr>
          <w:b/>
        </w:rPr>
        <w:t xml:space="preserve">та </w:t>
      </w:r>
      <w:r w:rsidRPr="00701B70">
        <w:rPr>
          <w:b/>
        </w:rPr>
        <w:t>праву ЄС.</w:t>
      </w:r>
    </w:p>
    <w:p w:rsidR="00F15B21" w:rsidRPr="00701B70" w:rsidRDefault="00F15B21" w:rsidP="00F15B21">
      <w:pPr>
        <w:pStyle w:val="11"/>
        <w:tabs>
          <w:tab w:val="left" w:pos="851"/>
        </w:tabs>
        <w:spacing w:before="60" w:after="0" w:line="240" w:lineRule="auto"/>
        <w:ind w:left="-425" w:firstLine="567"/>
        <w:jc w:val="both"/>
        <w:rPr>
          <w:rFonts w:ascii="Times New Roman" w:eastAsia="Times New Roman" w:hAnsi="Times New Roman"/>
          <w:sz w:val="28"/>
          <w:szCs w:val="28"/>
          <w:lang w:val="uk-UA" w:eastAsia="ru-RU"/>
        </w:rPr>
      </w:pPr>
      <w:r w:rsidRPr="00701B70">
        <w:rPr>
          <w:rFonts w:ascii="Times New Roman" w:eastAsia="Times New Roman" w:hAnsi="Times New Roman"/>
          <w:sz w:val="28"/>
          <w:szCs w:val="28"/>
          <w:lang w:val="uk-UA" w:eastAsia="ru-RU"/>
        </w:rPr>
        <w:t xml:space="preserve">За результатами правового аналізу </w:t>
      </w:r>
      <w:proofErr w:type="spellStart"/>
      <w:r w:rsidRPr="00701B70">
        <w:rPr>
          <w:rFonts w:ascii="Times New Roman" w:eastAsia="Times New Roman" w:hAnsi="Times New Roman"/>
          <w:sz w:val="28"/>
          <w:szCs w:val="28"/>
          <w:lang w:val="uk-UA" w:eastAsia="ru-RU"/>
        </w:rPr>
        <w:t>проєкту</w:t>
      </w:r>
      <w:proofErr w:type="spellEnd"/>
      <w:r w:rsidRPr="00701B70">
        <w:rPr>
          <w:rFonts w:ascii="Times New Roman" w:eastAsia="Times New Roman" w:hAnsi="Times New Roman"/>
          <w:sz w:val="28"/>
          <w:szCs w:val="28"/>
          <w:lang w:val="uk-UA" w:eastAsia="ru-RU"/>
        </w:rPr>
        <w:t xml:space="preserve"> Закону щодо його відповідності </w:t>
      </w:r>
      <w:proofErr w:type="spellStart"/>
      <w:r w:rsidRPr="00701B70">
        <w:rPr>
          <w:rFonts w:ascii="Times New Roman" w:eastAsia="Times New Roman" w:hAnsi="Times New Roman"/>
          <w:sz w:val="28"/>
          <w:szCs w:val="28"/>
          <w:lang w:val="uk-UA" w:eastAsia="ru-RU"/>
        </w:rPr>
        <w:t>aсquis</w:t>
      </w:r>
      <w:proofErr w:type="spellEnd"/>
      <w:r w:rsidRPr="00701B70">
        <w:rPr>
          <w:rFonts w:ascii="Times New Roman" w:eastAsia="Times New Roman" w:hAnsi="Times New Roman"/>
          <w:sz w:val="28"/>
          <w:szCs w:val="28"/>
          <w:lang w:val="uk-UA" w:eastAsia="ru-RU"/>
        </w:rPr>
        <w:t xml:space="preserve"> ЄС та Угоді про асоціацію слід зазначити таке.</w:t>
      </w:r>
    </w:p>
    <w:p w:rsidR="00A547FD" w:rsidRPr="00701B70" w:rsidRDefault="00F15B21" w:rsidP="00A547FD">
      <w:pPr>
        <w:spacing w:before="60"/>
        <w:ind w:left="-426" w:firstLine="567"/>
        <w:jc w:val="both"/>
      </w:pPr>
      <w:r w:rsidRPr="00701B70">
        <w:t xml:space="preserve">За метою </w:t>
      </w:r>
      <w:proofErr w:type="spellStart"/>
      <w:r w:rsidRPr="00701B70">
        <w:t>проєкт</w:t>
      </w:r>
      <w:proofErr w:type="spellEnd"/>
      <w:r w:rsidRPr="00701B70">
        <w:t xml:space="preserve"> Закону </w:t>
      </w:r>
      <w:r w:rsidRPr="00701B70">
        <w:rPr>
          <w:i/>
          <w:u w:val="single"/>
        </w:rPr>
        <w:t>не суперечить</w:t>
      </w:r>
      <w:r w:rsidRPr="00701B70">
        <w:t xml:space="preserve"> </w:t>
      </w:r>
      <w:r w:rsidR="008F7C0D" w:rsidRPr="00701B70">
        <w:t xml:space="preserve">цілям Конвенції проти корупції та </w:t>
      </w:r>
      <w:r w:rsidRPr="00701B70">
        <w:t xml:space="preserve">статті 22 </w:t>
      </w:r>
      <w:r w:rsidR="008F7C0D" w:rsidRPr="00701B70">
        <w:t>Угоди про асоціацію, де зазначено, що</w:t>
      </w:r>
      <w:r w:rsidR="008F7C0D" w:rsidRPr="00701B70">
        <w:rPr>
          <w:b/>
        </w:rPr>
        <w:t xml:space="preserve"> </w:t>
      </w:r>
      <w:r w:rsidR="008F7C0D" w:rsidRPr="00701B70">
        <w:t xml:space="preserve">Сторони співробітничають у боротьбі з кримінальною та незаконною організованою чи іншою діяльністю, а також з метою її попередження. Таке співробітництво спрямовується на вирішення, </w:t>
      </w:r>
      <w:proofErr w:type="spellStart"/>
      <w:r w:rsidR="008F7C0D" w:rsidRPr="00701B70">
        <w:t>inter</w:t>
      </w:r>
      <w:proofErr w:type="spellEnd"/>
      <w:r w:rsidR="008F7C0D" w:rsidRPr="00701B70">
        <w:t xml:space="preserve"> </w:t>
      </w:r>
      <w:proofErr w:type="spellStart"/>
      <w:r w:rsidR="008F7C0D" w:rsidRPr="00701B70">
        <w:t>alia</w:t>
      </w:r>
      <w:proofErr w:type="spellEnd"/>
      <w:r w:rsidR="008F7C0D" w:rsidRPr="00701B70">
        <w:t>, таких проблем як корупція як у приватному, так і в державному секторі.</w:t>
      </w:r>
    </w:p>
    <w:p w:rsidR="00A547FD" w:rsidRPr="00701B70" w:rsidRDefault="00A547FD" w:rsidP="00A547FD">
      <w:pPr>
        <w:spacing w:before="60"/>
        <w:ind w:left="-426" w:firstLine="567"/>
        <w:jc w:val="both"/>
      </w:pPr>
      <w:r w:rsidRPr="00701B70">
        <w:t xml:space="preserve">Як </w:t>
      </w:r>
      <w:r w:rsidR="00470C3C" w:rsidRPr="00701B70">
        <w:t xml:space="preserve">зазначають ініціатори </w:t>
      </w:r>
      <w:proofErr w:type="spellStart"/>
      <w:r w:rsidR="00470C3C" w:rsidRPr="00701B70">
        <w:t>законопро</w:t>
      </w:r>
      <w:r w:rsidRPr="00701B70">
        <w:t>єкту</w:t>
      </w:r>
      <w:proofErr w:type="spellEnd"/>
      <w:r w:rsidRPr="00701B70">
        <w:t xml:space="preserve"> у супроводжувальних документах, прийняття </w:t>
      </w:r>
      <w:proofErr w:type="spellStart"/>
      <w:r w:rsidRPr="00701B70">
        <w:t>проєкту</w:t>
      </w:r>
      <w:proofErr w:type="spellEnd"/>
      <w:r w:rsidRPr="00701B70">
        <w:t xml:space="preserve"> Закону «дасть змогу підвищити прозорість сфери виявлення і розшуку активів та сприятиме більш ефективному виконанню покладених на АРМА завдань» та додають, що «запропоновані зміни покликані розширити можливості доступу АРМА до джерел інформації, обробки даних сучасними ІТ-інструментами, автоматизувати означені процеси і мінімізувати участь людини на етапі первинного збирання, обробки даних, а також ефективно реалізовувати положення статті 10 Закону України «Про Національне агентство України з питань виявлення, розшуку та управління активами, одержаними від корупційних та інших злочинів».   </w:t>
      </w:r>
    </w:p>
    <w:p w:rsidR="00A547FD" w:rsidRPr="00701B70" w:rsidRDefault="00185D86" w:rsidP="00A547FD">
      <w:pPr>
        <w:spacing w:before="60"/>
        <w:ind w:left="-426" w:firstLine="567"/>
        <w:jc w:val="both"/>
      </w:pPr>
      <w:proofErr w:type="spellStart"/>
      <w:r w:rsidRPr="00701B70">
        <w:t>Проє</w:t>
      </w:r>
      <w:r w:rsidR="00F9701F" w:rsidRPr="00701B70">
        <w:t>ктом</w:t>
      </w:r>
      <w:proofErr w:type="spellEnd"/>
      <w:r w:rsidR="00F9701F" w:rsidRPr="00701B70">
        <w:t xml:space="preserve"> акту пропонується </w:t>
      </w:r>
      <w:proofErr w:type="spellStart"/>
      <w:r w:rsidR="00F9701F" w:rsidRPr="00701B70">
        <w:t>внести</w:t>
      </w:r>
      <w:proofErr w:type="spellEnd"/>
      <w:r w:rsidR="00F9701F" w:rsidRPr="00701B70">
        <w:t xml:space="preserve"> зміни до статті </w:t>
      </w:r>
      <w:r w:rsidR="00401C34" w:rsidRPr="00701B70">
        <w:t>10 Закону України  «Про Національне агентство України з питань виявлення, розшуку та управління активами, одержаними від корупційних та інших злочинів», що передбачає розширення переліку органів, від яких Національне агентство з метою виконання його функцій, за рішенням Голови Національного агентства або його заступника, може безоплатно одержувати</w:t>
      </w:r>
      <w:r w:rsidR="002A541E" w:rsidRPr="00701B70">
        <w:t xml:space="preserve"> інформацію</w:t>
      </w:r>
      <w:r w:rsidR="00401C34" w:rsidRPr="00701B70">
        <w:t xml:space="preserve"> </w:t>
      </w:r>
      <w:r w:rsidR="002A541E" w:rsidRPr="00701B70">
        <w:t>в установленому законом порядку, зокрема від</w:t>
      </w:r>
      <w:r w:rsidR="00401C34" w:rsidRPr="00701B70">
        <w:t xml:space="preserve"> </w:t>
      </w:r>
      <w:r w:rsidR="002A541E" w:rsidRPr="00701B70">
        <w:t xml:space="preserve">органів </w:t>
      </w:r>
      <w:r w:rsidR="00401C34" w:rsidRPr="00701B70">
        <w:t>державного управління, державних і комунальних підприємств, установ, організацій, банків, професійних учасників ринків капіталу та організованих товарних ринків, інших осіб, визначених законом</w:t>
      </w:r>
      <w:r w:rsidR="002A541E" w:rsidRPr="00701B70">
        <w:t>.</w:t>
      </w:r>
    </w:p>
    <w:p w:rsidR="003A6443" w:rsidRPr="00701B70" w:rsidRDefault="003A6443" w:rsidP="00A547FD">
      <w:pPr>
        <w:spacing w:before="60"/>
        <w:ind w:left="-426" w:firstLine="567"/>
        <w:jc w:val="both"/>
      </w:pPr>
      <w:r w:rsidRPr="00701B70">
        <w:t>У статті 11 розширюється перелік приміщень державних органів, до яких уповноважені особи Національного агентства мають право безперешкодно входити - до органів державного управління, державних і комунальних підприємств, установ, організацій; отримувати в межах своїх повноважень письмові пояснення від посадових осіб та службових осіб, зокрема, від органів державного управління, державних і комунальних підприємств, установ, організацій.</w:t>
      </w:r>
    </w:p>
    <w:p w:rsidR="003A6443" w:rsidRPr="00701B70" w:rsidRDefault="003A6443" w:rsidP="00A547FD">
      <w:pPr>
        <w:spacing w:before="60"/>
        <w:ind w:left="-426" w:firstLine="567"/>
        <w:jc w:val="both"/>
      </w:pPr>
      <w:r w:rsidRPr="00701B70">
        <w:t>Статтею 15 врегульовується можливість укладення Національним агентством з окремими державними органами та/або органами місцевого самоврядування, іншими юридичними особами угоди (меморандуми) про співпрацю та обмін інформацією.</w:t>
      </w:r>
    </w:p>
    <w:p w:rsidR="00470C3C" w:rsidRPr="00701B70" w:rsidRDefault="00A547FD" w:rsidP="00A547FD">
      <w:pPr>
        <w:spacing w:before="60"/>
        <w:ind w:left="-426" w:firstLine="567"/>
        <w:jc w:val="both"/>
      </w:pPr>
      <w:r w:rsidRPr="00701B70">
        <w:lastRenderedPageBreak/>
        <w:t xml:space="preserve"> У звіті Європейської Комісії від червня 2020 року «Повернення та конфіскація активів: забезпечення того, щоб злочини не окупилися» також наголошується на ряді заходів, які можуть ще більше посилити спроможність агентств з повернення активів відстежувати та ідентифікувати злочинні активи, наприклад,  швидкий доступ агентств з повернення активів до мінімального набору даних, що містяться в національних реєстрах та базах даних; необхідність посилення повноважень аг</w:t>
      </w:r>
      <w:r w:rsidR="001A4A58" w:rsidRPr="00701B70">
        <w:t>е</w:t>
      </w:r>
      <w:r w:rsidRPr="00701B70">
        <w:t>н</w:t>
      </w:r>
      <w:r w:rsidR="001A4A58" w:rsidRPr="00701B70">
        <w:t>т</w:t>
      </w:r>
      <w:r w:rsidRPr="00701B70">
        <w:t>ств з повернення активів.</w:t>
      </w:r>
      <w:r w:rsidRPr="00701B70">
        <w:footnoteReference w:id="2"/>
      </w:r>
      <w:r w:rsidRPr="00701B70">
        <w:t xml:space="preserve"> </w:t>
      </w:r>
    </w:p>
    <w:p w:rsidR="00401C34" w:rsidRPr="00701B70" w:rsidRDefault="001A4A58" w:rsidP="00A547FD">
      <w:pPr>
        <w:spacing w:before="60"/>
        <w:ind w:left="-426" w:firstLine="567"/>
        <w:jc w:val="both"/>
      </w:pPr>
      <w:r w:rsidRPr="00701B70">
        <w:t xml:space="preserve">Відповідно до цього Європейська Комісія до вересня 2021 року проводила публічні консультації щодо оновлення низки відповідних документів. </w:t>
      </w:r>
    </w:p>
    <w:p w:rsidR="002A541E" w:rsidRPr="00701B70" w:rsidRDefault="001A4A58" w:rsidP="000C37C3">
      <w:pPr>
        <w:spacing w:before="60"/>
        <w:ind w:left="-426" w:firstLine="567"/>
        <w:jc w:val="both"/>
      </w:pPr>
      <w:proofErr w:type="spellStart"/>
      <w:r w:rsidRPr="00701B70">
        <w:t>Cтаття</w:t>
      </w:r>
      <w:proofErr w:type="spellEnd"/>
      <w:r w:rsidRPr="00701B70">
        <w:t xml:space="preserve"> 38 Конвенції проти корупції також передбачає розвиток співробітництва між національними органами. «Кожна Держава-учасниця вживає таких заходів,  які можуть бути необхідними  для заохочення,  відповідно до її внутрішнього права, співробітництва між,  з одного боку,  її  державними  органами,  а також  державними  посадовими  особами та,  з іншого боку,  своїми органами,  відповідальними за розслідування  та  переслідування  у зв'язку  з  кримінальними  злочинами.  Таке  співробітництво  може включати: </w:t>
      </w:r>
      <w:bookmarkStart w:id="1" w:name="o284"/>
      <w:bookmarkEnd w:id="1"/>
      <w:r w:rsidRPr="00701B70">
        <w:t>надання таким відповідальним органам з власної  ініціативи інформації,  якщо є обґрунтовані підстави вважати, що був вчинений будь-який зі злочинів,  визначених статтями  15,  21  та  23  цієї Конвенції; або надання   таким  відповідальним  органам,  на  відповідний запит, усієї необхідної інформації».</w:t>
      </w:r>
    </w:p>
    <w:p w:rsidR="003A6443" w:rsidRPr="00701B70" w:rsidRDefault="002A541E" w:rsidP="000C37C3">
      <w:pPr>
        <w:spacing w:before="60"/>
        <w:ind w:left="-426" w:firstLine="567"/>
        <w:jc w:val="both"/>
      </w:pPr>
      <w:r w:rsidRPr="00701B70">
        <w:t xml:space="preserve">У статті </w:t>
      </w:r>
      <w:r w:rsidR="00470C3C" w:rsidRPr="00701B70">
        <w:t xml:space="preserve">10 </w:t>
      </w:r>
      <w:r w:rsidRPr="00701B70">
        <w:t xml:space="preserve">автори </w:t>
      </w:r>
      <w:proofErr w:type="spellStart"/>
      <w:r w:rsidRPr="00701B70">
        <w:t>законопроєкту</w:t>
      </w:r>
      <w:proofErr w:type="spellEnd"/>
      <w:r w:rsidRPr="00701B70">
        <w:t xml:space="preserve"> вносять пропозицію щодо типу інформації, яку може витребувати Національне аген</w:t>
      </w:r>
      <w:r w:rsidR="000C37C3" w:rsidRPr="00701B70">
        <w:t>т</w:t>
      </w:r>
      <w:r w:rsidRPr="00701B70">
        <w:t>ство, у тому числі з обмеженим доступом</w:t>
      </w:r>
      <w:r w:rsidR="000C37C3" w:rsidRPr="00701B70">
        <w:t>.</w:t>
      </w:r>
      <w:r w:rsidR="00470C3C" w:rsidRPr="00701B70">
        <w:t xml:space="preserve"> </w:t>
      </w:r>
      <w:r w:rsidRPr="00701B70">
        <w:t xml:space="preserve">Зазначається, що використання та обробка цієї інформації здійснюється Національним агентством з дотриманням законодавства про захист персональних даних, яке визначає порядок доступу та використання інформації з обмеженим доступом, законодавства у сфері </w:t>
      </w:r>
      <w:proofErr w:type="spellStart"/>
      <w:r w:rsidRPr="00701B70">
        <w:t>кіберзахисту</w:t>
      </w:r>
      <w:proofErr w:type="spellEnd"/>
      <w:r w:rsidRPr="00701B70">
        <w:t xml:space="preserve"> і захисту інформації.</w:t>
      </w:r>
    </w:p>
    <w:p w:rsidR="005F42AD" w:rsidRPr="00701B70" w:rsidRDefault="005F42AD" w:rsidP="005F42AD">
      <w:pPr>
        <w:spacing w:before="60"/>
        <w:ind w:left="-426" w:firstLine="567"/>
        <w:jc w:val="both"/>
        <w:rPr>
          <w:shd w:val="clear" w:color="auto" w:fill="FFFFFF"/>
        </w:rPr>
      </w:pPr>
      <w:r w:rsidRPr="00701B70">
        <w:rPr>
          <w:shd w:val="clear" w:color="auto" w:fill="FFFFFF"/>
        </w:rPr>
        <w:t>У п.26 преамбули Директиви 2016/680 наголошується, що «будь-яка обробка персональних даних має бути законною, справедливою та прозорою по відношенню до відповідних фізичних осіб та оброблятися лише для конкретних цілей, визначених законом.»</w:t>
      </w:r>
    </w:p>
    <w:p w:rsidR="005F42AD" w:rsidRPr="00701B70" w:rsidRDefault="005F42AD" w:rsidP="000C37C3">
      <w:pPr>
        <w:spacing w:before="60"/>
        <w:ind w:left="-426" w:firstLine="567"/>
        <w:jc w:val="both"/>
      </w:pPr>
      <w:r w:rsidRPr="00701B70">
        <w:t>Відповідно до п.39 преамбули Регламенту 2016/679: «Будь-яка обробка персональних даних має бути законною та справедливою. Фізичним особам має бути відомо, що персональні дані, які їх стосуються, збираються, використовуються, консультуються або обробляються іншим чином, а також у якій мірі персональні дані обробляються чи будуть оброблятися. Принцип прозорості вимагає, щоб будь-яка інформація та повідомлення, пов’язані з обробкою цих персональних даних, були легкодоступними та зрозумілими, а також використовувалася чітка та зрозуміла мова. Цей принцип стосується, зокрема, інформації для суб’єктів даних щодо особи розпорядника та цілей обробки, а також додаткової інформації для забезпечення справедливої ​​та прозорої обробки стосовно відповідних фізичних осіб та їхнього права на підтвердження та повідо</w:t>
      </w:r>
      <w:r w:rsidR="003E1603">
        <w:t>млення особистих даних, даних</w:t>
      </w:r>
      <w:r w:rsidRPr="00701B70">
        <w:t xml:space="preserve"> щодо них, які обробляються. Фізичні особи повинні бути обізнані про ризики, правила, </w:t>
      </w:r>
      <w:r w:rsidRPr="00701B70">
        <w:lastRenderedPageBreak/>
        <w:t>гарантії та права щодо обробки персональних даних та про те, як реалізувати свої права щодо такої обробки. Зокрема, конкретні цілі, для яких обробляються персональні дані, повинні бути чітко визначеними та законними та визначеними на момент збору персональних даних. Персональні дані повинні бути адекватними, відповідними та обмеженими тим, що необхідно для цілей, для яких вони обробляються. Це вимагає, зокрема, гарантувати, що термін зберігання персональних даних обмежується суворим мінімумом. Персональні дані повинні оброблятися лише в тому випадку, якщо мета обробки не може бути обґрунтовано досягнута іншими засобами. Щоб гарантувати, що персональні дані не зберігаються довше, ніж це необхідно, контролер повинен встановити часові обмеження для видалення або періодичного перегляду. Необхідно вжити всіх розумних заходів, щоб забезпечити виправлення або видалення неточних персональних даних. Персональні дані повинні оброблятися таким чином, щоб забезпечити належну безпеку та конфіденційність персональних даних, у тому числі для запобігання несанкціонованому доступу до персональних даних та обладнання, що використовується для обробки, чи використання їх». Разом з тим, дотримання законодавства щодо захисту персональних даних необхідне для забезпечення належних процедур, які дозволять уникнути зловживання доступом до  інформації з обмеженим доступом</w:t>
      </w:r>
      <w:r w:rsidR="00701B70">
        <w:t>»</w:t>
      </w:r>
      <w:r w:rsidRPr="00701B70">
        <w:t xml:space="preserve">. </w:t>
      </w:r>
    </w:p>
    <w:p w:rsidR="000C37C3" w:rsidRPr="00701B70" w:rsidRDefault="000C37C3" w:rsidP="000C37C3">
      <w:pPr>
        <w:spacing w:before="60"/>
        <w:ind w:left="-426" w:firstLine="567"/>
        <w:jc w:val="both"/>
      </w:pPr>
      <w:r w:rsidRPr="00701B70">
        <w:t>Статтею 50 Конвенції проти корупції визначено наступне: «з метою ефективної   боротьби   з   корупцією   кожна Держава-учасниця,  тією  мірою,  якою  це  допускається  основними принципами  її  правової  системи,  і  за  умов,  встановлених  її внутрішнім правом,  вживає,  у  межах  своєї  компетенції,   таких заходів,  які можуть бути необхідними, щоб дозволити проведення її компетентними органами контролю над поставками й, у тих випадках, коли  вона  вважає  це  доречним,  використання  інших спеціальних методів розслідування, таких як електронне спостереження або інші форми спостереження,  або таємні операції,  на своїй території,  а також визнання доказів,  зібраних за допомогою  таких  методів,  в суді».</w:t>
      </w:r>
    </w:p>
    <w:p w:rsidR="000C37C3" w:rsidRPr="00701B70" w:rsidRDefault="000C37C3" w:rsidP="000C37C3">
      <w:pPr>
        <w:spacing w:before="60"/>
        <w:ind w:left="-426" w:firstLine="567"/>
        <w:jc w:val="both"/>
      </w:pPr>
      <w:r w:rsidRPr="00701B70">
        <w:t>У пункті 23 Директиви 2019/1153 йдеться про наступне: «щоб досягти належного балансу між ефективністю та високим рівнем захисту даних, держави-члени повинні забезпечити, щоб обробка конфіденційної фінансової інформації, яка могла б виявити конфіденційні дані щодо расового чи етнічного походження, політичних поглядів, релігійних чи філософських переконань особи, членство в профспілці, або дані про здоров’я, сексуальне життя чи сексуальну орієнтацію фізичної особи повинні бути дозволені лише спеціально уповноваженими особами та відповідно до чинних правил захисту даних».</w:t>
      </w:r>
    </w:p>
    <w:p w:rsidR="000C37C3" w:rsidRPr="00701B70" w:rsidRDefault="000C37C3" w:rsidP="000C37C3">
      <w:pPr>
        <w:spacing w:before="60"/>
        <w:ind w:left="-426" w:firstLine="567"/>
        <w:jc w:val="both"/>
      </w:pPr>
      <w:r w:rsidRPr="00701B70">
        <w:t>Статтею 1 Директиви</w:t>
      </w:r>
      <w:r w:rsidR="003A6443" w:rsidRPr="00701B70">
        <w:t xml:space="preserve"> 2016/860</w:t>
      </w:r>
      <w:r w:rsidRPr="00701B70">
        <w:t xml:space="preserve"> передбачено: «ця Директива встановлює правила, що стосуються захисту фізичних осіб щодо обробки персональних даних компетентними органами з метою запобігання, розслідування, виявлення або переслідування кримінальних правопорушень або виконання кримінальних покарань, включаючи захист та запобігання загрозам громадській безпеці.</w:t>
      </w:r>
    </w:p>
    <w:p w:rsidR="000C37C3" w:rsidRPr="00701B70" w:rsidRDefault="000C37C3" w:rsidP="000C37C3">
      <w:pPr>
        <w:spacing w:before="60"/>
        <w:ind w:left="-426" w:firstLine="567"/>
        <w:jc w:val="both"/>
      </w:pPr>
      <w:r w:rsidRPr="00701B70">
        <w:t>2. Відповідно до цієї Директиви держави-члени повинні:</w:t>
      </w:r>
    </w:p>
    <w:p w:rsidR="000C37C3" w:rsidRPr="00701B70" w:rsidRDefault="000C37C3" w:rsidP="000C37C3">
      <w:pPr>
        <w:spacing w:before="60"/>
        <w:ind w:left="-426" w:firstLine="567"/>
        <w:jc w:val="both"/>
      </w:pPr>
      <w:r w:rsidRPr="00701B70">
        <w:lastRenderedPageBreak/>
        <w:t>(a) захищати основні права і свободи фізичних осіб і, зокрема, їх право</w:t>
      </w:r>
      <w:r w:rsidR="00C7643A" w:rsidRPr="00701B70">
        <w:t xml:space="preserve"> на захист персональних даних; </w:t>
      </w:r>
    </w:p>
    <w:p w:rsidR="000C37C3" w:rsidRPr="00701B70" w:rsidRDefault="000C37C3" w:rsidP="000C37C3">
      <w:pPr>
        <w:spacing w:before="60"/>
        <w:ind w:left="-426" w:firstLine="567"/>
        <w:jc w:val="both"/>
      </w:pPr>
      <w:r w:rsidRPr="00701B70">
        <w:t>(b) забезпечити, щоб обмін персональними даними компетентними органами в Союзі, якщо такий обмін необхідний відповідно до законодавства Союзу або держави-члена, не був ані обмежений, ані заборонений з причин, пов’язаних із захистом фізичних осіб щодо обробки персональних даних.</w:t>
      </w:r>
    </w:p>
    <w:p w:rsidR="003A6443" w:rsidRPr="00701B70" w:rsidRDefault="000C37C3" w:rsidP="003A6443">
      <w:pPr>
        <w:spacing w:before="60"/>
        <w:ind w:left="-426" w:firstLine="567"/>
        <w:jc w:val="both"/>
      </w:pPr>
      <w:r w:rsidRPr="00701B70">
        <w:t>3. Ця Директива не перешкоджає державам-членам надавати вищі гарантії, ніж ті, що встановлені в цій Директиві, для захисту прав і свобод суб'єкта даних щодо обробки персональних даних компетентними органами.»</w:t>
      </w:r>
    </w:p>
    <w:p w:rsidR="00B1036E" w:rsidRPr="00701B70" w:rsidRDefault="00B1036E" w:rsidP="002A541E">
      <w:pPr>
        <w:pBdr>
          <w:top w:val="nil"/>
          <w:left w:val="nil"/>
          <w:bottom w:val="nil"/>
          <w:right w:val="nil"/>
          <w:between w:val="nil"/>
        </w:pBdr>
        <w:shd w:val="clear" w:color="auto" w:fill="FFFFFF"/>
        <w:ind w:firstLine="746"/>
        <w:jc w:val="both"/>
        <w:rPr>
          <w:sz w:val="24"/>
          <w:szCs w:val="24"/>
        </w:rPr>
      </w:pPr>
    </w:p>
    <w:p w:rsidR="009969AA" w:rsidRPr="00701B70" w:rsidRDefault="009969AA" w:rsidP="00FB3446">
      <w:pPr>
        <w:ind w:left="-425" w:firstLine="567"/>
        <w:jc w:val="both"/>
        <w:rPr>
          <w:bCs/>
        </w:rPr>
      </w:pPr>
      <w:bookmarkStart w:id="2" w:name="bookmark2"/>
      <w:r w:rsidRPr="00701B70">
        <w:rPr>
          <w:rFonts w:eastAsia="Verdana"/>
          <w:b/>
          <w:bCs/>
        </w:rPr>
        <w:t>4.</w:t>
      </w:r>
      <w:r w:rsidRPr="00701B70">
        <w:rPr>
          <w:rFonts w:eastAsia="Verdana"/>
          <w:bCs/>
        </w:rPr>
        <w:t>   </w:t>
      </w:r>
      <w:r w:rsidRPr="00701B70">
        <w:rPr>
          <w:b/>
        </w:rPr>
        <w:t xml:space="preserve">Висновок Комітету з питань інтеграції України до Європейського Союзу. </w:t>
      </w:r>
    </w:p>
    <w:bookmarkEnd w:id="2"/>
    <w:p w:rsidR="009969AA" w:rsidRPr="00091B19" w:rsidRDefault="009969AA" w:rsidP="009969AA">
      <w:pPr>
        <w:tabs>
          <w:tab w:val="left" w:pos="426"/>
        </w:tabs>
        <w:ind w:left="-425" w:firstLine="567"/>
        <w:jc w:val="both"/>
        <w:rPr>
          <w:b/>
        </w:rPr>
      </w:pPr>
      <w:proofErr w:type="spellStart"/>
      <w:r w:rsidRPr="00701B70">
        <w:t>Проєкт</w:t>
      </w:r>
      <w:proofErr w:type="spellEnd"/>
      <w:r w:rsidRPr="00701B70">
        <w:t xml:space="preserve"> Закону </w:t>
      </w:r>
      <w:r w:rsidR="00101042" w:rsidRPr="00701B70">
        <w:t xml:space="preserve">за метою </w:t>
      </w:r>
      <w:r w:rsidRPr="00701B70">
        <w:rPr>
          <w:b/>
        </w:rPr>
        <w:t>не суперечить</w:t>
      </w:r>
      <w:r w:rsidRPr="00701B70">
        <w:t xml:space="preserve"> </w:t>
      </w:r>
      <w:r w:rsidR="005F42AD" w:rsidRPr="00701B70">
        <w:t>цілям</w:t>
      </w:r>
      <w:r w:rsidRPr="00701B70">
        <w:t xml:space="preserve"> Угоди про асоціацію</w:t>
      </w:r>
      <w:r w:rsidR="00091B19" w:rsidRPr="00701B70">
        <w:t xml:space="preserve">, проте </w:t>
      </w:r>
      <w:r w:rsidR="005F42AD" w:rsidRPr="00701B70">
        <w:rPr>
          <w:b/>
        </w:rPr>
        <w:t>потребує доопрацювання</w:t>
      </w:r>
      <w:r w:rsidR="005F42AD" w:rsidRPr="00701B70">
        <w:t xml:space="preserve"> з метою забезпечення</w:t>
      </w:r>
      <w:r w:rsidR="00757EFF" w:rsidRPr="00701B70">
        <w:t xml:space="preserve"> дотримання положень </w:t>
      </w:r>
      <w:r w:rsidR="00757EFF" w:rsidRPr="00701B70">
        <w:rPr>
          <w:b/>
        </w:rPr>
        <w:t>Регламенту 2016/679 у частині захисту персональних даних</w:t>
      </w:r>
      <w:r w:rsidRPr="00701B70">
        <w:rPr>
          <w:b/>
        </w:rPr>
        <w:t>.</w:t>
      </w:r>
    </w:p>
    <w:p w:rsidR="00182F01" w:rsidRPr="00C9768D" w:rsidRDefault="00182F01" w:rsidP="009969AA"/>
    <w:p w:rsidR="009969AA" w:rsidRPr="00C9768D" w:rsidRDefault="009969AA" w:rsidP="009969AA"/>
    <w:p w:rsidR="009969AA" w:rsidRPr="00C9768D" w:rsidRDefault="009969AA" w:rsidP="009969AA">
      <w:pPr>
        <w:rPr>
          <w:sz w:val="24"/>
        </w:rPr>
      </w:pPr>
    </w:p>
    <w:sectPr w:rsidR="009969AA" w:rsidRPr="00C9768D" w:rsidSect="00C711AB">
      <w:footerReference w:type="default" r:id="rId8"/>
      <w:headerReference w:type="first" r:id="rId9"/>
      <w:pgSz w:w="11906" w:h="16838"/>
      <w:pgMar w:top="851" w:right="707" w:bottom="850" w:left="1560" w:header="708" w:footer="64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C8" w:rsidRDefault="003124C8" w:rsidP="004D14D5">
      <w:r>
        <w:separator/>
      </w:r>
    </w:p>
  </w:endnote>
  <w:endnote w:type="continuationSeparator" w:id="0">
    <w:p w:rsidR="003124C8" w:rsidRDefault="003124C8" w:rsidP="004D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177402"/>
      <w:docPartObj>
        <w:docPartGallery w:val="Page Numbers (Bottom of Page)"/>
        <w:docPartUnique/>
      </w:docPartObj>
    </w:sdtPr>
    <w:sdtEndPr>
      <w:rPr>
        <w:sz w:val="24"/>
        <w:szCs w:val="24"/>
      </w:rPr>
    </w:sdtEndPr>
    <w:sdtContent>
      <w:p w:rsidR="00F87EE7" w:rsidRPr="00E1148D" w:rsidRDefault="00B330E2">
        <w:pPr>
          <w:pStyle w:val="a3"/>
          <w:jc w:val="center"/>
          <w:rPr>
            <w:sz w:val="24"/>
            <w:szCs w:val="24"/>
          </w:rPr>
        </w:pPr>
        <w:r w:rsidRPr="00E1148D">
          <w:rPr>
            <w:sz w:val="24"/>
            <w:szCs w:val="24"/>
          </w:rPr>
          <w:fldChar w:fldCharType="begin"/>
        </w:r>
        <w:r w:rsidRPr="00E1148D">
          <w:rPr>
            <w:sz w:val="24"/>
            <w:szCs w:val="24"/>
          </w:rPr>
          <w:instrText>PAGE   \* MERGEFORMAT</w:instrText>
        </w:r>
        <w:r w:rsidRPr="00E1148D">
          <w:rPr>
            <w:sz w:val="24"/>
            <w:szCs w:val="24"/>
          </w:rPr>
          <w:fldChar w:fldCharType="separate"/>
        </w:r>
        <w:r w:rsidR="00D96B61">
          <w:rPr>
            <w:noProof/>
            <w:sz w:val="24"/>
            <w:szCs w:val="24"/>
          </w:rPr>
          <w:t>2</w:t>
        </w:r>
        <w:r w:rsidRPr="00E1148D">
          <w:rPr>
            <w:sz w:val="24"/>
            <w:szCs w:val="24"/>
          </w:rPr>
          <w:fldChar w:fldCharType="end"/>
        </w:r>
      </w:p>
    </w:sdtContent>
  </w:sdt>
  <w:p w:rsidR="00F87EE7" w:rsidRDefault="003124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C8" w:rsidRDefault="003124C8" w:rsidP="004D14D5">
      <w:r>
        <w:separator/>
      </w:r>
    </w:p>
  </w:footnote>
  <w:footnote w:type="continuationSeparator" w:id="0">
    <w:p w:rsidR="003124C8" w:rsidRDefault="003124C8" w:rsidP="004D14D5">
      <w:r>
        <w:continuationSeparator/>
      </w:r>
    </w:p>
  </w:footnote>
  <w:footnote w:id="1">
    <w:p w:rsidR="00A53B68" w:rsidRDefault="00A53B68">
      <w:pPr>
        <w:pStyle w:val="a6"/>
      </w:pPr>
      <w:r>
        <w:rPr>
          <w:rStyle w:val="a5"/>
        </w:rPr>
        <w:footnoteRef/>
      </w:r>
      <w:r>
        <w:t xml:space="preserve"> </w:t>
      </w:r>
      <w:r>
        <w:rPr>
          <w:sz w:val="24"/>
        </w:rPr>
        <w:t xml:space="preserve">Комітет розглянув </w:t>
      </w:r>
      <w:proofErr w:type="spellStart"/>
      <w:r>
        <w:rPr>
          <w:sz w:val="24"/>
        </w:rPr>
        <w:t>проє</w:t>
      </w:r>
      <w:r w:rsidRPr="008243C8">
        <w:rPr>
          <w:sz w:val="24"/>
        </w:rPr>
        <w:t>кт</w:t>
      </w:r>
      <w:proofErr w:type="spellEnd"/>
      <w:r w:rsidRPr="008243C8">
        <w:rPr>
          <w:sz w:val="24"/>
        </w:rPr>
        <w:t xml:space="preserve"> Закону на своєму засіданні </w:t>
      </w:r>
      <w:r>
        <w:rPr>
          <w:sz w:val="24"/>
        </w:rPr>
        <w:t>21</w:t>
      </w:r>
      <w:r w:rsidRPr="008243C8">
        <w:rPr>
          <w:sz w:val="24"/>
        </w:rPr>
        <w:t xml:space="preserve"> </w:t>
      </w:r>
      <w:r w:rsidR="00D96B61">
        <w:rPr>
          <w:sz w:val="24"/>
        </w:rPr>
        <w:t>січня 2022</w:t>
      </w:r>
      <w:bookmarkStart w:id="0" w:name="_GoBack"/>
      <w:bookmarkEnd w:id="0"/>
      <w:r>
        <w:rPr>
          <w:sz w:val="24"/>
        </w:rPr>
        <w:t xml:space="preserve"> року (протокол № 94</w:t>
      </w:r>
      <w:r w:rsidRPr="008243C8">
        <w:rPr>
          <w:sz w:val="24"/>
        </w:rPr>
        <w:t>) відповідно до статті 93 Регламенту Верховної Ради України.</w:t>
      </w:r>
    </w:p>
  </w:footnote>
  <w:footnote w:id="2">
    <w:p w:rsidR="00A547FD" w:rsidRDefault="00A547FD">
      <w:pPr>
        <w:pStyle w:val="a6"/>
      </w:pPr>
      <w:r>
        <w:rPr>
          <w:rStyle w:val="a5"/>
        </w:rPr>
        <w:footnoteRef/>
      </w:r>
      <w:r>
        <w:t xml:space="preserve"> </w:t>
      </w:r>
      <w:r w:rsidRPr="00A547FD">
        <w:t>https://www.europarl.europa.eu/legislative-train/theme-promoting-our-european-way-of-life/file-proposal-for-a-directive-on-asset-recovery-offices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701B70" w:rsidRPr="00AD7F82" w:rsidTr="00673BDD">
      <w:tc>
        <w:tcPr>
          <w:tcW w:w="11957" w:type="dxa"/>
          <w:tcBorders>
            <w:top w:val="nil"/>
            <w:left w:val="nil"/>
            <w:bottom w:val="nil"/>
            <w:right w:val="nil"/>
          </w:tcBorders>
        </w:tcPr>
        <w:p w:rsidR="00701B70" w:rsidRPr="00AD7F82" w:rsidRDefault="00701B70" w:rsidP="00701B70">
          <w:pPr>
            <w:pStyle w:val="a8"/>
            <w:tabs>
              <w:tab w:val="left" w:pos="6549"/>
            </w:tabs>
            <w:rPr>
              <w:color w:val="002060"/>
              <w:sz w:val="32"/>
              <w:szCs w:val="32"/>
            </w:rPr>
          </w:pPr>
          <w:r w:rsidRPr="0021032F">
            <w:rPr>
              <w:noProof/>
              <w:spacing w:val="20"/>
              <w:sz w:val="34"/>
              <w:szCs w:val="34"/>
              <w:lang w:eastAsia="uk-UA"/>
            </w:rPr>
            <w:drawing>
              <wp:anchor distT="360045" distB="0" distL="114300" distR="114300" simplePos="0" relativeHeight="251659264" behindDoc="0" locked="0" layoutInCell="1" allowOverlap="1" wp14:anchorId="1E882C09" wp14:editId="690E152E">
                <wp:simplePos x="0" y="0"/>
                <wp:positionH relativeFrom="margin">
                  <wp:posOffset>3700780</wp:posOffset>
                </wp:positionH>
                <wp:positionV relativeFrom="paragraph">
                  <wp:posOffset>19050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701B70" w:rsidRPr="00AD7F82" w:rsidRDefault="00701B70" w:rsidP="00701B70">
          <w:pPr>
            <w:pStyle w:val="a8"/>
            <w:rPr>
              <w:color w:val="002060"/>
              <w:sz w:val="32"/>
              <w:szCs w:val="32"/>
            </w:rPr>
          </w:pPr>
        </w:p>
        <w:p w:rsidR="00701B70" w:rsidRPr="00AD7F82" w:rsidRDefault="00701B70" w:rsidP="00701B70">
          <w:pPr>
            <w:pStyle w:val="a8"/>
            <w:rPr>
              <w:color w:val="002060"/>
              <w:sz w:val="32"/>
              <w:szCs w:val="32"/>
            </w:rPr>
          </w:pPr>
        </w:p>
        <w:p w:rsidR="00701B70" w:rsidRPr="0021032F" w:rsidRDefault="00701B70" w:rsidP="00701B70">
          <w:pPr>
            <w:pStyle w:val="a8"/>
            <w:spacing w:before="80"/>
            <w:jc w:val="center"/>
            <w:rPr>
              <w:color w:val="1829A8"/>
              <w:spacing w:val="20"/>
              <w:sz w:val="34"/>
              <w:szCs w:val="34"/>
            </w:rPr>
          </w:pPr>
          <w:r>
            <w:rPr>
              <w:color w:val="1829A8"/>
              <w:spacing w:val="20"/>
              <w:sz w:val="34"/>
              <w:szCs w:val="34"/>
            </w:rPr>
            <w:t xml:space="preserve">           </w:t>
          </w:r>
          <w:r w:rsidRPr="0021032F">
            <w:rPr>
              <w:color w:val="1829A8"/>
              <w:spacing w:val="20"/>
              <w:sz w:val="34"/>
              <w:szCs w:val="34"/>
            </w:rPr>
            <w:t>ВЕРХОВНА РАДА УКРАЇНИ</w:t>
          </w:r>
        </w:p>
        <w:p w:rsidR="00701B70" w:rsidRPr="00D22048" w:rsidRDefault="00701B70" w:rsidP="00701B70">
          <w:pPr>
            <w:pStyle w:val="a8"/>
            <w:spacing w:before="100"/>
            <w:jc w:val="center"/>
            <w:rPr>
              <w:b/>
              <w:color w:val="1829A8"/>
              <w:spacing w:val="20"/>
              <w:sz w:val="24"/>
              <w:szCs w:val="24"/>
            </w:rPr>
          </w:pPr>
          <w:r>
            <w:rPr>
              <w:b/>
              <w:color w:val="1829A8"/>
              <w:spacing w:val="20"/>
              <w:sz w:val="24"/>
              <w:szCs w:val="24"/>
            </w:rPr>
            <w:t xml:space="preserve">             </w:t>
          </w:r>
          <w:r w:rsidRPr="00C86266">
            <w:rPr>
              <w:b/>
              <w:color w:val="1829A8"/>
              <w:spacing w:val="20"/>
              <w:sz w:val="24"/>
              <w:szCs w:val="24"/>
            </w:rPr>
            <w:t>Комітет з питань</w:t>
          </w:r>
          <w:r>
            <w:rPr>
              <w:b/>
              <w:color w:val="1829A8"/>
              <w:spacing w:val="20"/>
              <w:sz w:val="24"/>
              <w:szCs w:val="24"/>
            </w:rPr>
            <w:t xml:space="preserve"> інтеграції України до Європейського Союзу</w:t>
          </w:r>
        </w:p>
        <w:p w:rsidR="00701B70" w:rsidRPr="009865D4" w:rsidRDefault="00701B70" w:rsidP="00701B70">
          <w:pPr>
            <w:pStyle w:val="a8"/>
            <w:spacing w:before="160" w:after="60"/>
            <w:jc w:val="center"/>
            <w:rPr>
              <w:color w:val="002060"/>
              <w:sz w:val="20"/>
              <w:szCs w:val="20"/>
            </w:rPr>
          </w:pPr>
          <w:r>
            <w:rPr>
              <w:color w:val="1829A8"/>
              <w:sz w:val="20"/>
              <w:szCs w:val="20"/>
            </w:rPr>
            <w:t xml:space="preserve">                 0</w:t>
          </w:r>
          <w:r w:rsidRPr="00A833C8">
            <w:rPr>
              <w:color w:val="1829A8"/>
              <w:sz w:val="20"/>
              <w:szCs w:val="20"/>
            </w:rPr>
            <w:t xml:space="preserve">1008, м.Київ-8, вул. М. Грушевського, 5, </w:t>
          </w:r>
          <w:proofErr w:type="spellStart"/>
          <w:r w:rsidRPr="00A833C8">
            <w:rPr>
              <w:color w:val="1829A8"/>
              <w:sz w:val="20"/>
              <w:szCs w:val="20"/>
            </w:rPr>
            <w:t>тел</w:t>
          </w:r>
          <w:proofErr w:type="spellEnd"/>
          <w:r w:rsidRPr="00A833C8">
            <w:rPr>
              <w:color w:val="1829A8"/>
              <w:sz w:val="20"/>
              <w:szCs w:val="20"/>
            </w:rPr>
            <w:t>.</w:t>
          </w:r>
          <w:r>
            <w:rPr>
              <w:color w:val="1829A8"/>
              <w:sz w:val="20"/>
              <w:szCs w:val="20"/>
            </w:rPr>
            <w:t xml:space="preserve">: </w:t>
          </w:r>
          <w:r w:rsidRPr="00A833C8">
            <w:rPr>
              <w:color w:val="1829A8"/>
              <w:sz w:val="20"/>
              <w:szCs w:val="20"/>
            </w:rPr>
            <w:t>2</w:t>
          </w:r>
          <w:r>
            <w:rPr>
              <w:color w:val="1829A8"/>
              <w:sz w:val="20"/>
              <w:szCs w:val="20"/>
            </w:rPr>
            <w:t>55</w:t>
          </w:r>
          <w:r w:rsidRPr="00A833C8">
            <w:rPr>
              <w:color w:val="1829A8"/>
              <w:sz w:val="20"/>
              <w:szCs w:val="20"/>
            </w:rPr>
            <w:t>-</w:t>
          </w:r>
          <w:r>
            <w:rPr>
              <w:color w:val="1829A8"/>
              <w:sz w:val="20"/>
              <w:szCs w:val="20"/>
            </w:rPr>
            <w:t>34</w:t>
          </w:r>
          <w:r w:rsidRPr="00A833C8">
            <w:rPr>
              <w:color w:val="1829A8"/>
              <w:sz w:val="20"/>
              <w:szCs w:val="20"/>
            </w:rPr>
            <w:t>-</w:t>
          </w:r>
          <w:r>
            <w:rPr>
              <w:color w:val="1829A8"/>
              <w:sz w:val="20"/>
              <w:szCs w:val="20"/>
            </w:rPr>
            <w:t>42, факс</w:t>
          </w:r>
          <w:r w:rsidRPr="004C53C1">
            <w:rPr>
              <w:color w:val="1829A8"/>
              <w:sz w:val="20"/>
              <w:szCs w:val="20"/>
            </w:rPr>
            <w:t>:</w:t>
          </w:r>
          <w:r>
            <w:rPr>
              <w:color w:val="1829A8"/>
              <w:sz w:val="20"/>
              <w:szCs w:val="20"/>
            </w:rPr>
            <w:t xml:space="preserve"> 255-33-13, </w:t>
          </w:r>
          <w:r>
            <w:rPr>
              <w:color w:val="1829A8"/>
              <w:sz w:val="20"/>
              <w:szCs w:val="20"/>
              <w:lang w:val="en-US"/>
            </w:rPr>
            <w:t>e</w:t>
          </w:r>
          <w:r w:rsidRPr="009865D4">
            <w:rPr>
              <w:color w:val="1829A8"/>
              <w:sz w:val="20"/>
              <w:szCs w:val="20"/>
            </w:rPr>
            <w:t>-</w:t>
          </w:r>
          <w:r>
            <w:rPr>
              <w:color w:val="1829A8"/>
              <w:sz w:val="20"/>
              <w:szCs w:val="20"/>
              <w:lang w:val="en-US"/>
            </w:rPr>
            <w:t>mail</w:t>
          </w:r>
          <w:r w:rsidRPr="009865D4">
            <w:rPr>
              <w:color w:val="1829A8"/>
              <w:sz w:val="20"/>
              <w:szCs w:val="20"/>
            </w:rPr>
            <w:t xml:space="preserve">: </w:t>
          </w:r>
          <w:proofErr w:type="spellStart"/>
          <w:r>
            <w:rPr>
              <w:color w:val="1829A8"/>
              <w:sz w:val="20"/>
              <w:szCs w:val="20"/>
              <w:lang w:val="en-US"/>
            </w:rPr>
            <w:t>comeuroint</w:t>
          </w:r>
          <w:proofErr w:type="spellEnd"/>
          <w:r w:rsidRPr="009865D4">
            <w:rPr>
              <w:color w:val="1829A8"/>
              <w:sz w:val="20"/>
              <w:szCs w:val="20"/>
            </w:rPr>
            <w:t>@</w:t>
          </w:r>
          <w:r>
            <w:rPr>
              <w:color w:val="1829A8"/>
              <w:sz w:val="20"/>
              <w:szCs w:val="20"/>
              <w:lang w:val="en-US"/>
            </w:rPr>
            <w:t>v</w:t>
          </w:r>
          <w:r w:rsidRPr="009865D4">
            <w:rPr>
              <w:color w:val="1829A8"/>
              <w:sz w:val="20"/>
              <w:szCs w:val="20"/>
            </w:rPr>
            <w:t>.</w:t>
          </w:r>
          <w:proofErr w:type="spellStart"/>
          <w:r>
            <w:rPr>
              <w:color w:val="1829A8"/>
              <w:sz w:val="20"/>
              <w:szCs w:val="20"/>
              <w:lang w:val="en-US"/>
            </w:rPr>
            <w:t>rada</w:t>
          </w:r>
          <w:proofErr w:type="spellEnd"/>
          <w:r w:rsidRPr="009865D4">
            <w:rPr>
              <w:color w:val="1829A8"/>
              <w:sz w:val="20"/>
              <w:szCs w:val="20"/>
            </w:rPr>
            <w:t>.</w:t>
          </w:r>
          <w:proofErr w:type="spellStart"/>
          <w:r>
            <w:rPr>
              <w:color w:val="1829A8"/>
              <w:sz w:val="20"/>
              <w:szCs w:val="20"/>
              <w:lang w:val="en-US"/>
            </w:rPr>
            <w:t>gov</w:t>
          </w:r>
          <w:proofErr w:type="spellEnd"/>
          <w:r w:rsidRPr="009865D4">
            <w:rPr>
              <w:color w:val="1829A8"/>
              <w:sz w:val="20"/>
              <w:szCs w:val="20"/>
            </w:rPr>
            <w:t>.</w:t>
          </w:r>
          <w:proofErr w:type="spellStart"/>
          <w:r>
            <w:rPr>
              <w:color w:val="1829A8"/>
              <w:sz w:val="20"/>
              <w:szCs w:val="20"/>
              <w:lang w:val="en-US"/>
            </w:rPr>
            <w:t>ua</w:t>
          </w:r>
          <w:proofErr w:type="spellEnd"/>
        </w:p>
      </w:tc>
    </w:tr>
  </w:tbl>
  <w:tbl>
    <w:tblPr>
      <w:tblStyle w:val="af3"/>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9639"/>
      <w:gridCol w:w="568"/>
    </w:tblGrid>
    <w:tr w:rsidR="00701B70" w:rsidRPr="00053776" w:rsidTr="00673BDD">
      <w:trPr>
        <w:trHeight w:val="82"/>
      </w:trPr>
      <w:tc>
        <w:tcPr>
          <w:tcW w:w="1680" w:type="dxa"/>
          <w:tcBorders>
            <w:top w:val="nil"/>
          </w:tcBorders>
        </w:tcPr>
        <w:p w:rsidR="00701B70" w:rsidRPr="00053776" w:rsidRDefault="00701B70" w:rsidP="00701B70">
          <w:pPr>
            <w:pStyle w:val="a8"/>
            <w:rPr>
              <w:color w:val="002060"/>
              <w:lang w:val="uk-UA"/>
            </w:rPr>
          </w:pPr>
        </w:p>
      </w:tc>
      <w:tc>
        <w:tcPr>
          <w:tcW w:w="9639" w:type="dxa"/>
        </w:tcPr>
        <w:p w:rsidR="00701B70" w:rsidRPr="00053776" w:rsidRDefault="00701B70" w:rsidP="00701B70">
          <w:pPr>
            <w:pStyle w:val="a8"/>
            <w:rPr>
              <w:color w:val="002060"/>
              <w:lang w:val="uk-UA"/>
            </w:rPr>
          </w:pPr>
        </w:p>
      </w:tc>
      <w:tc>
        <w:tcPr>
          <w:tcW w:w="568" w:type="dxa"/>
          <w:tcBorders>
            <w:top w:val="nil"/>
          </w:tcBorders>
        </w:tcPr>
        <w:p w:rsidR="00701B70" w:rsidRPr="00053776" w:rsidRDefault="00701B70" w:rsidP="00701B70">
          <w:pPr>
            <w:pStyle w:val="a8"/>
            <w:rPr>
              <w:color w:val="002060"/>
              <w:lang w:val="uk-UA"/>
            </w:rPr>
          </w:pPr>
        </w:p>
      </w:tc>
    </w:tr>
  </w:tbl>
  <w:p w:rsidR="00CA4142" w:rsidRDefault="003124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007C7"/>
    <w:multiLevelType w:val="hybridMultilevel"/>
    <w:tmpl w:val="133E9AF0"/>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D5"/>
    <w:rsid w:val="000066F3"/>
    <w:rsid w:val="000316FA"/>
    <w:rsid w:val="00044B0B"/>
    <w:rsid w:val="0005797E"/>
    <w:rsid w:val="000715AA"/>
    <w:rsid w:val="000847FD"/>
    <w:rsid w:val="000854AA"/>
    <w:rsid w:val="000904C3"/>
    <w:rsid w:val="00091798"/>
    <w:rsid w:val="00091B19"/>
    <w:rsid w:val="000A1FE1"/>
    <w:rsid w:val="000A77DD"/>
    <w:rsid w:val="000C37C3"/>
    <w:rsid w:val="000C71F2"/>
    <w:rsid w:val="000E3A6C"/>
    <w:rsid w:val="000F4A02"/>
    <w:rsid w:val="000F7E88"/>
    <w:rsid w:val="00101042"/>
    <w:rsid w:val="00125686"/>
    <w:rsid w:val="00127551"/>
    <w:rsid w:val="00160E12"/>
    <w:rsid w:val="00182F01"/>
    <w:rsid w:val="00184423"/>
    <w:rsid w:val="00185D86"/>
    <w:rsid w:val="00185DE2"/>
    <w:rsid w:val="001918A8"/>
    <w:rsid w:val="00195BFE"/>
    <w:rsid w:val="001A4A58"/>
    <w:rsid w:val="001B69AE"/>
    <w:rsid w:val="001D4089"/>
    <w:rsid w:val="001E0A5B"/>
    <w:rsid w:val="001F2BBC"/>
    <w:rsid w:val="0021097A"/>
    <w:rsid w:val="00252055"/>
    <w:rsid w:val="00256276"/>
    <w:rsid w:val="00260BD2"/>
    <w:rsid w:val="002827BA"/>
    <w:rsid w:val="002A541E"/>
    <w:rsid w:val="002B5727"/>
    <w:rsid w:val="002C1FEB"/>
    <w:rsid w:val="002D4F11"/>
    <w:rsid w:val="002D6E28"/>
    <w:rsid w:val="003124C8"/>
    <w:rsid w:val="00342767"/>
    <w:rsid w:val="003453B2"/>
    <w:rsid w:val="00381C7C"/>
    <w:rsid w:val="003A50FA"/>
    <w:rsid w:val="003A6443"/>
    <w:rsid w:val="003C75BE"/>
    <w:rsid w:val="003D4689"/>
    <w:rsid w:val="003D7858"/>
    <w:rsid w:val="003E1603"/>
    <w:rsid w:val="00401C34"/>
    <w:rsid w:val="0041597F"/>
    <w:rsid w:val="00415BD3"/>
    <w:rsid w:val="00421ACA"/>
    <w:rsid w:val="004349F5"/>
    <w:rsid w:val="00435D7C"/>
    <w:rsid w:val="00470C3C"/>
    <w:rsid w:val="00472864"/>
    <w:rsid w:val="00476387"/>
    <w:rsid w:val="00492E53"/>
    <w:rsid w:val="004932F8"/>
    <w:rsid w:val="004B20DC"/>
    <w:rsid w:val="004D14D5"/>
    <w:rsid w:val="004D731F"/>
    <w:rsid w:val="00500196"/>
    <w:rsid w:val="005102D5"/>
    <w:rsid w:val="005144E5"/>
    <w:rsid w:val="00522D82"/>
    <w:rsid w:val="00525511"/>
    <w:rsid w:val="005331BB"/>
    <w:rsid w:val="00533464"/>
    <w:rsid w:val="005547AC"/>
    <w:rsid w:val="005817E5"/>
    <w:rsid w:val="00585202"/>
    <w:rsid w:val="005900F4"/>
    <w:rsid w:val="00595430"/>
    <w:rsid w:val="00596027"/>
    <w:rsid w:val="005F09D3"/>
    <w:rsid w:val="005F42AD"/>
    <w:rsid w:val="00603AC6"/>
    <w:rsid w:val="006103B4"/>
    <w:rsid w:val="006119E0"/>
    <w:rsid w:val="00626D16"/>
    <w:rsid w:val="00627972"/>
    <w:rsid w:val="0063183D"/>
    <w:rsid w:val="00634627"/>
    <w:rsid w:val="00644CA4"/>
    <w:rsid w:val="006709B7"/>
    <w:rsid w:val="0068323C"/>
    <w:rsid w:val="006B2272"/>
    <w:rsid w:val="006C167A"/>
    <w:rsid w:val="006C4356"/>
    <w:rsid w:val="006C582A"/>
    <w:rsid w:val="006D47F9"/>
    <w:rsid w:val="006E4D34"/>
    <w:rsid w:val="006E7047"/>
    <w:rsid w:val="007005C4"/>
    <w:rsid w:val="00701B70"/>
    <w:rsid w:val="00747136"/>
    <w:rsid w:val="007535A5"/>
    <w:rsid w:val="00757EFF"/>
    <w:rsid w:val="00761A89"/>
    <w:rsid w:val="007652AA"/>
    <w:rsid w:val="00792896"/>
    <w:rsid w:val="007A436A"/>
    <w:rsid w:val="007A5F19"/>
    <w:rsid w:val="007C2E00"/>
    <w:rsid w:val="007D6400"/>
    <w:rsid w:val="0080183E"/>
    <w:rsid w:val="008101F0"/>
    <w:rsid w:val="00825D9E"/>
    <w:rsid w:val="008274BE"/>
    <w:rsid w:val="00841A8F"/>
    <w:rsid w:val="0084294D"/>
    <w:rsid w:val="00870B8B"/>
    <w:rsid w:val="008A3158"/>
    <w:rsid w:val="008B3D65"/>
    <w:rsid w:val="008D49A6"/>
    <w:rsid w:val="008E4B23"/>
    <w:rsid w:val="008F7C0D"/>
    <w:rsid w:val="00904570"/>
    <w:rsid w:val="00905C8D"/>
    <w:rsid w:val="00950391"/>
    <w:rsid w:val="00952F19"/>
    <w:rsid w:val="0095418F"/>
    <w:rsid w:val="00963111"/>
    <w:rsid w:val="00965679"/>
    <w:rsid w:val="0098487B"/>
    <w:rsid w:val="0099197F"/>
    <w:rsid w:val="009963E6"/>
    <w:rsid w:val="009969AA"/>
    <w:rsid w:val="009A433F"/>
    <w:rsid w:val="009D646B"/>
    <w:rsid w:val="009E06C6"/>
    <w:rsid w:val="009F121E"/>
    <w:rsid w:val="009F1E22"/>
    <w:rsid w:val="009F20A2"/>
    <w:rsid w:val="00A25B4D"/>
    <w:rsid w:val="00A40791"/>
    <w:rsid w:val="00A53B68"/>
    <w:rsid w:val="00A547FD"/>
    <w:rsid w:val="00A733C9"/>
    <w:rsid w:val="00A85C76"/>
    <w:rsid w:val="00A92611"/>
    <w:rsid w:val="00A948BE"/>
    <w:rsid w:val="00AA7ABC"/>
    <w:rsid w:val="00AB150C"/>
    <w:rsid w:val="00AC247B"/>
    <w:rsid w:val="00AD155B"/>
    <w:rsid w:val="00AF5C61"/>
    <w:rsid w:val="00B1036E"/>
    <w:rsid w:val="00B16F6A"/>
    <w:rsid w:val="00B330E2"/>
    <w:rsid w:val="00B339C2"/>
    <w:rsid w:val="00B45F4A"/>
    <w:rsid w:val="00B6095F"/>
    <w:rsid w:val="00B830A6"/>
    <w:rsid w:val="00BA5F52"/>
    <w:rsid w:val="00BB5DCA"/>
    <w:rsid w:val="00BC4C67"/>
    <w:rsid w:val="00C00BA4"/>
    <w:rsid w:val="00C37C77"/>
    <w:rsid w:val="00C63159"/>
    <w:rsid w:val="00C711AB"/>
    <w:rsid w:val="00C7643A"/>
    <w:rsid w:val="00C90D67"/>
    <w:rsid w:val="00C9768D"/>
    <w:rsid w:val="00CC119A"/>
    <w:rsid w:val="00CC35C7"/>
    <w:rsid w:val="00CC4584"/>
    <w:rsid w:val="00CC54E6"/>
    <w:rsid w:val="00CC5B2F"/>
    <w:rsid w:val="00CE2594"/>
    <w:rsid w:val="00CE2E93"/>
    <w:rsid w:val="00CE51EB"/>
    <w:rsid w:val="00CF1D55"/>
    <w:rsid w:val="00D21799"/>
    <w:rsid w:val="00D23AE4"/>
    <w:rsid w:val="00D43A13"/>
    <w:rsid w:val="00D7062C"/>
    <w:rsid w:val="00D77745"/>
    <w:rsid w:val="00D84EE3"/>
    <w:rsid w:val="00D96B61"/>
    <w:rsid w:val="00DD4C0B"/>
    <w:rsid w:val="00DE050F"/>
    <w:rsid w:val="00DE0C2A"/>
    <w:rsid w:val="00DE5D1D"/>
    <w:rsid w:val="00E2079B"/>
    <w:rsid w:val="00E54C14"/>
    <w:rsid w:val="00E71CFC"/>
    <w:rsid w:val="00E810BD"/>
    <w:rsid w:val="00E81E75"/>
    <w:rsid w:val="00E96413"/>
    <w:rsid w:val="00EA6432"/>
    <w:rsid w:val="00EB2DDC"/>
    <w:rsid w:val="00ED032A"/>
    <w:rsid w:val="00ED36F1"/>
    <w:rsid w:val="00F00960"/>
    <w:rsid w:val="00F12B93"/>
    <w:rsid w:val="00F15B21"/>
    <w:rsid w:val="00F24147"/>
    <w:rsid w:val="00F2424D"/>
    <w:rsid w:val="00F4594A"/>
    <w:rsid w:val="00F625C0"/>
    <w:rsid w:val="00F63AB1"/>
    <w:rsid w:val="00F82B1F"/>
    <w:rsid w:val="00F83224"/>
    <w:rsid w:val="00F87E4D"/>
    <w:rsid w:val="00F9701F"/>
    <w:rsid w:val="00F97E9D"/>
    <w:rsid w:val="00FA2BE6"/>
    <w:rsid w:val="00FB3446"/>
    <w:rsid w:val="00FB553E"/>
    <w:rsid w:val="00FC07A8"/>
    <w:rsid w:val="00FF5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2B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4D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427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70B8B"/>
    <w:pPr>
      <w:spacing w:before="100" w:beforeAutospacing="1" w:after="100" w:afterAutospacing="1"/>
      <w:outlineLvl w:val="1"/>
    </w:pPr>
    <w:rPr>
      <w:b/>
      <w:bCs/>
      <w:sz w:val="36"/>
      <w:szCs w:val="36"/>
      <w:lang w:eastAsia="uk-UA"/>
    </w:rPr>
  </w:style>
  <w:style w:type="paragraph" w:styleId="3">
    <w:name w:val="heading 3"/>
    <w:basedOn w:val="a"/>
    <w:next w:val="a"/>
    <w:link w:val="30"/>
    <w:uiPriority w:val="9"/>
    <w:unhideWhenUsed/>
    <w:qFormat/>
    <w:rsid w:val="000C71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qFormat/>
    <w:rsid w:val="004D14D5"/>
    <w:pPr>
      <w:spacing w:after="200" w:line="276" w:lineRule="auto"/>
      <w:ind w:left="720"/>
      <w:contextualSpacing/>
    </w:pPr>
    <w:rPr>
      <w:rFonts w:ascii="Calibri" w:eastAsia="Calibri" w:hAnsi="Calibri"/>
      <w:sz w:val="22"/>
      <w:szCs w:val="22"/>
      <w:lang w:val="ru-RU" w:eastAsia="en-US"/>
    </w:rPr>
  </w:style>
  <w:style w:type="paragraph" w:styleId="a3">
    <w:name w:val="footer"/>
    <w:basedOn w:val="a"/>
    <w:link w:val="a4"/>
    <w:rsid w:val="004D14D5"/>
    <w:pPr>
      <w:tabs>
        <w:tab w:val="center" w:pos="4819"/>
        <w:tab w:val="right" w:pos="9639"/>
      </w:tabs>
    </w:pPr>
  </w:style>
  <w:style w:type="character" w:customStyle="1" w:styleId="a4">
    <w:name w:val="Нижній колонтитул Знак"/>
    <w:basedOn w:val="a0"/>
    <w:link w:val="a3"/>
    <w:rsid w:val="004D14D5"/>
    <w:rPr>
      <w:rFonts w:ascii="Times New Roman" w:eastAsia="Times New Roman" w:hAnsi="Times New Roman" w:cs="Times New Roman"/>
      <w:sz w:val="28"/>
      <w:szCs w:val="28"/>
      <w:lang w:eastAsia="ru-RU"/>
    </w:rPr>
  </w:style>
  <w:style w:type="paragraph" w:customStyle="1" w:styleId="rvps2">
    <w:name w:val="rvps2"/>
    <w:basedOn w:val="a"/>
    <w:rsid w:val="004D14D5"/>
    <w:pPr>
      <w:spacing w:before="100" w:beforeAutospacing="1" w:after="100" w:afterAutospacing="1"/>
    </w:pPr>
    <w:rPr>
      <w:sz w:val="24"/>
      <w:szCs w:val="24"/>
      <w:lang w:val="ru-RU"/>
    </w:rPr>
  </w:style>
  <w:style w:type="character" w:styleId="a5">
    <w:name w:val="footnote reference"/>
    <w:basedOn w:val="a0"/>
    <w:unhideWhenUsed/>
    <w:rsid w:val="004D14D5"/>
    <w:rPr>
      <w:vertAlign w:val="superscript"/>
    </w:rPr>
  </w:style>
  <w:style w:type="paragraph" w:styleId="a6">
    <w:name w:val="footnote text"/>
    <w:basedOn w:val="a"/>
    <w:link w:val="a7"/>
    <w:semiHidden/>
    <w:unhideWhenUsed/>
    <w:rsid w:val="004D14D5"/>
    <w:rPr>
      <w:sz w:val="20"/>
      <w:szCs w:val="20"/>
    </w:rPr>
  </w:style>
  <w:style w:type="character" w:customStyle="1" w:styleId="a7">
    <w:name w:val="Текст виноски Знак"/>
    <w:basedOn w:val="a0"/>
    <w:link w:val="a6"/>
    <w:semiHidden/>
    <w:rsid w:val="004D14D5"/>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D14D5"/>
    <w:pPr>
      <w:tabs>
        <w:tab w:val="center" w:pos="4819"/>
        <w:tab w:val="right" w:pos="9639"/>
      </w:tabs>
    </w:pPr>
  </w:style>
  <w:style w:type="character" w:customStyle="1" w:styleId="a9">
    <w:name w:val="Верхній колонтитул Знак"/>
    <w:basedOn w:val="a0"/>
    <w:link w:val="a8"/>
    <w:uiPriority w:val="99"/>
    <w:rsid w:val="004D14D5"/>
    <w:rPr>
      <w:rFonts w:ascii="Times New Roman" w:eastAsia="Times New Roman" w:hAnsi="Times New Roman" w:cs="Times New Roman"/>
      <w:sz w:val="28"/>
      <w:szCs w:val="28"/>
      <w:lang w:eastAsia="ru-RU"/>
    </w:rPr>
  </w:style>
  <w:style w:type="character" w:styleId="aa">
    <w:name w:val="Hyperlink"/>
    <w:basedOn w:val="a0"/>
    <w:uiPriority w:val="99"/>
    <w:unhideWhenUsed/>
    <w:rsid w:val="004D14D5"/>
    <w:rPr>
      <w:color w:val="0563C1" w:themeColor="hyperlink"/>
      <w:u w:val="single"/>
    </w:rPr>
  </w:style>
  <w:style w:type="character" w:customStyle="1" w:styleId="st">
    <w:name w:val="st"/>
    <w:basedOn w:val="a0"/>
    <w:rsid w:val="00A948BE"/>
  </w:style>
  <w:style w:type="character" w:styleId="ab">
    <w:name w:val="Emphasis"/>
    <w:basedOn w:val="a0"/>
    <w:uiPriority w:val="20"/>
    <w:qFormat/>
    <w:rsid w:val="00A948BE"/>
    <w:rPr>
      <w:i/>
      <w:iCs/>
    </w:rPr>
  </w:style>
  <w:style w:type="paragraph" w:styleId="ac">
    <w:name w:val="List Paragraph"/>
    <w:basedOn w:val="a"/>
    <w:uiPriority w:val="34"/>
    <w:qFormat/>
    <w:rsid w:val="000066F3"/>
    <w:pPr>
      <w:ind w:left="720"/>
      <w:contextualSpacing/>
    </w:pPr>
  </w:style>
  <w:style w:type="character" w:styleId="ad">
    <w:name w:val="Strong"/>
    <w:basedOn w:val="a0"/>
    <w:uiPriority w:val="22"/>
    <w:qFormat/>
    <w:rsid w:val="00A40791"/>
    <w:rPr>
      <w:b/>
      <w:bCs/>
    </w:rPr>
  </w:style>
  <w:style w:type="character" w:customStyle="1" w:styleId="31">
    <w:name w:val="Основной текст (3)_"/>
    <w:basedOn w:val="a0"/>
    <w:link w:val="32"/>
    <w:rsid w:val="00A40791"/>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rsid w:val="00A4079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A4079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32">
    <w:name w:val="Основной текст (3)"/>
    <w:basedOn w:val="a"/>
    <w:link w:val="31"/>
    <w:rsid w:val="00A40791"/>
    <w:pPr>
      <w:widowControl w:val="0"/>
      <w:shd w:val="clear" w:color="auto" w:fill="FFFFFF"/>
      <w:spacing w:line="323" w:lineRule="exact"/>
      <w:jc w:val="both"/>
    </w:pPr>
    <w:rPr>
      <w:b/>
      <w:bCs/>
      <w:sz w:val="26"/>
      <w:szCs w:val="26"/>
      <w:lang w:eastAsia="en-US"/>
    </w:rPr>
  </w:style>
  <w:style w:type="character" w:customStyle="1" w:styleId="rvts23">
    <w:name w:val="rvts23"/>
    <w:basedOn w:val="a0"/>
    <w:rsid w:val="00E96413"/>
  </w:style>
  <w:style w:type="character" w:customStyle="1" w:styleId="20">
    <w:name w:val="Заголовок 2 Знак"/>
    <w:basedOn w:val="a0"/>
    <w:link w:val="2"/>
    <w:uiPriority w:val="9"/>
    <w:rsid w:val="00870B8B"/>
    <w:rPr>
      <w:rFonts w:ascii="Times New Roman" w:eastAsia="Times New Roman" w:hAnsi="Times New Roman" w:cs="Times New Roman"/>
      <w:b/>
      <w:bCs/>
      <w:sz w:val="36"/>
      <w:szCs w:val="36"/>
      <w:lang w:eastAsia="uk-UA"/>
    </w:rPr>
  </w:style>
  <w:style w:type="paragraph" w:customStyle="1" w:styleId="tc">
    <w:name w:val="tc"/>
    <w:basedOn w:val="a"/>
    <w:rsid w:val="00870B8B"/>
    <w:pPr>
      <w:spacing w:before="100" w:beforeAutospacing="1" w:after="100" w:afterAutospacing="1"/>
    </w:pPr>
    <w:rPr>
      <w:sz w:val="24"/>
      <w:szCs w:val="24"/>
      <w:lang w:eastAsia="uk-UA"/>
    </w:rPr>
  </w:style>
  <w:style w:type="paragraph" w:styleId="HTML">
    <w:name w:val="HTML Preformatted"/>
    <w:basedOn w:val="a"/>
    <w:link w:val="HTML0"/>
    <w:unhideWhenUsed/>
    <w:rsid w:val="0041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rsid w:val="00415BD3"/>
    <w:rPr>
      <w:rFonts w:ascii="Courier New" w:eastAsia="Times New Roman" w:hAnsi="Courier New" w:cs="Courier New"/>
      <w:sz w:val="20"/>
      <w:szCs w:val="20"/>
      <w:lang w:eastAsia="uk-UA"/>
    </w:rPr>
  </w:style>
  <w:style w:type="character" w:customStyle="1" w:styleId="rvts0">
    <w:name w:val="rvts0"/>
    <w:basedOn w:val="a0"/>
    <w:rsid w:val="00CC5B2F"/>
  </w:style>
  <w:style w:type="paragraph" w:customStyle="1" w:styleId="ae">
    <w:name w:val="Нормальний текст"/>
    <w:basedOn w:val="a"/>
    <w:rsid w:val="00963111"/>
    <w:pPr>
      <w:spacing w:before="120"/>
      <w:ind w:firstLine="567"/>
      <w:jc w:val="both"/>
    </w:pPr>
    <w:rPr>
      <w:rFonts w:ascii="Antiqua" w:hAnsi="Antiqua"/>
      <w:sz w:val="26"/>
      <w:szCs w:val="20"/>
    </w:rPr>
  </w:style>
  <w:style w:type="character" w:customStyle="1" w:styleId="acopre">
    <w:name w:val="acopre"/>
    <w:basedOn w:val="a0"/>
    <w:rsid w:val="00E810BD"/>
  </w:style>
  <w:style w:type="character" w:customStyle="1" w:styleId="rvts44">
    <w:name w:val="rvts44"/>
    <w:basedOn w:val="a0"/>
    <w:rsid w:val="00D23AE4"/>
  </w:style>
  <w:style w:type="paragraph" w:customStyle="1" w:styleId="norm">
    <w:name w:val="norm"/>
    <w:basedOn w:val="a"/>
    <w:rsid w:val="00D7062C"/>
    <w:pPr>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F12B93"/>
    <w:rPr>
      <w:rFonts w:ascii="Segoe UI" w:hAnsi="Segoe UI" w:cs="Segoe UI"/>
      <w:sz w:val="18"/>
      <w:szCs w:val="18"/>
    </w:rPr>
  </w:style>
  <w:style w:type="character" w:customStyle="1" w:styleId="af0">
    <w:name w:val="Текст у виносці Знак"/>
    <w:basedOn w:val="a0"/>
    <w:link w:val="af"/>
    <w:uiPriority w:val="99"/>
    <w:semiHidden/>
    <w:rsid w:val="00F12B93"/>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0C71F2"/>
    <w:rPr>
      <w:rFonts w:asciiTheme="majorHAnsi" w:eastAsiaTheme="majorEastAsia" w:hAnsiTheme="majorHAnsi" w:cstheme="majorBidi"/>
      <w:color w:val="1F4D78" w:themeColor="accent1" w:themeShade="7F"/>
      <w:sz w:val="24"/>
      <w:szCs w:val="24"/>
      <w:lang w:eastAsia="ru-RU"/>
    </w:rPr>
  </w:style>
  <w:style w:type="character" w:customStyle="1" w:styleId="af1">
    <w:name w:val="Звичайний (веб) Знак"/>
    <w:link w:val="af2"/>
    <w:locked/>
    <w:rsid w:val="00F9701F"/>
    <w:rPr>
      <w:sz w:val="24"/>
      <w:szCs w:val="24"/>
      <w:lang w:val="ru-RU" w:eastAsia="ru-RU"/>
    </w:rPr>
  </w:style>
  <w:style w:type="paragraph" w:styleId="af2">
    <w:name w:val="Normal (Web)"/>
    <w:basedOn w:val="a"/>
    <w:link w:val="af1"/>
    <w:unhideWhenUsed/>
    <w:rsid w:val="00F9701F"/>
    <w:pPr>
      <w:spacing w:before="100" w:beforeAutospacing="1" w:after="100" w:afterAutospacing="1"/>
    </w:pPr>
    <w:rPr>
      <w:rFonts w:asciiTheme="minorHAnsi" w:eastAsiaTheme="minorHAnsi" w:hAnsiTheme="minorHAnsi" w:cstheme="minorBidi"/>
      <w:sz w:val="24"/>
      <w:szCs w:val="24"/>
      <w:lang w:val="ru-RU"/>
    </w:rPr>
  </w:style>
  <w:style w:type="character" w:customStyle="1" w:styleId="10">
    <w:name w:val="Заголовок 1 Знак"/>
    <w:basedOn w:val="a0"/>
    <w:link w:val="1"/>
    <w:uiPriority w:val="9"/>
    <w:rsid w:val="00342767"/>
    <w:rPr>
      <w:rFonts w:asciiTheme="majorHAnsi" w:eastAsiaTheme="majorEastAsia" w:hAnsiTheme="majorHAnsi" w:cstheme="majorBidi"/>
      <w:color w:val="2E74B5" w:themeColor="accent1" w:themeShade="BF"/>
      <w:sz w:val="32"/>
      <w:szCs w:val="32"/>
      <w:lang w:eastAsia="ru-RU"/>
    </w:rPr>
  </w:style>
  <w:style w:type="paragraph" w:customStyle="1" w:styleId="rvps7">
    <w:name w:val="rvps7"/>
    <w:basedOn w:val="a"/>
    <w:rsid w:val="00F2424D"/>
    <w:pPr>
      <w:spacing w:before="100" w:beforeAutospacing="1" w:after="100" w:afterAutospacing="1"/>
    </w:pPr>
    <w:rPr>
      <w:sz w:val="24"/>
      <w:szCs w:val="24"/>
      <w:lang w:eastAsia="uk-UA"/>
    </w:rPr>
  </w:style>
  <w:style w:type="character" w:customStyle="1" w:styleId="rvts9">
    <w:name w:val="rvts9"/>
    <w:basedOn w:val="a0"/>
    <w:rsid w:val="00F2424D"/>
  </w:style>
  <w:style w:type="paragraph" w:customStyle="1" w:styleId="12">
    <w:name w:val="Звичайний1"/>
    <w:basedOn w:val="a"/>
    <w:rsid w:val="0021097A"/>
    <w:pPr>
      <w:spacing w:before="100" w:beforeAutospacing="1" w:after="100" w:afterAutospacing="1"/>
    </w:pPr>
    <w:rPr>
      <w:sz w:val="24"/>
      <w:szCs w:val="24"/>
      <w:lang w:eastAsia="uk-UA"/>
    </w:rPr>
  </w:style>
  <w:style w:type="table" w:styleId="af3">
    <w:name w:val="Table Grid"/>
    <w:basedOn w:val="a1"/>
    <w:uiPriority w:val="99"/>
    <w:rsid w:val="00701B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207">
      <w:bodyDiv w:val="1"/>
      <w:marLeft w:val="0"/>
      <w:marRight w:val="0"/>
      <w:marTop w:val="0"/>
      <w:marBottom w:val="0"/>
      <w:divBdr>
        <w:top w:val="none" w:sz="0" w:space="0" w:color="auto"/>
        <w:left w:val="none" w:sz="0" w:space="0" w:color="auto"/>
        <w:bottom w:val="none" w:sz="0" w:space="0" w:color="auto"/>
        <w:right w:val="none" w:sz="0" w:space="0" w:color="auto"/>
      </w:divBdr>
      <w:divsChild>
        <w:div w:id="824199487">
          <w:marLeft w:val="0"/>
          <w:marRight w:val="0"/>
          <w:marTop w:val="0"/>
          <w:marBottom w:val="0"/>
          <w:divBdr>
            <w:top w:val="none" w:sz="0" w:space="0" w:color="auto"/>
            <w:left w:val="none" w:sz="0" w:space="0" w:color="auto"/>
            <w:bottom w:val="none" w:sz="0" w:space="0" w:color="auto"/>
            <w:right w:val="none" w:sz="0" w:space="0" w:color="auto"/>
          </w:divBdr>
        </w:div>
      </w:divsChild>
    </w:div>
    <w:div w:id="260534211">
      <w:bodyDiv w:val="1"/>
      <w:marLeft w:val="0"/>
      <w:marRight w:val="0"/>
      <w:marTop w:val="0"/>
      <w:marBottom w:val="0"/>
      <w:divBdr>
        <w:top w:val="none" w:sz="0" w:space="0" w:color="auto"/>
        <w:left w:val="none" w:sz="0" w:space="0" w:color="auto"/>
        <w:bottom w:val="none" w:sz="0" w:space="0" w:color="auto"/>
        <w:right w:val="none" w:sz="0" w:space="0" w:color="auto"/>
      </w:divBdr>
      <w:divsChild>
        <w:div w:id="1135953210">
          <w:marLeft w:val="600"/>
          <w:marRight w:val="0"/>
          <w:marTop w:val="0"/>
          <w:marBottom w:val="0"/>
          <w:divBdr>
            <w:top w:val="none" w:sz="0" w:space="0" w:color="auto"/>
            <w:left w:val="none" w:sz="0" w:space="0" w:color="auto"/>
            <w:bottom w:val="none" w:sz="0" w:space="0" w:color="auto"/>
            <w:right w:val="none" w:sz="0" w:space="0" w:color="auto"/>
          </w:divBdr>
        </w:div>
        <w:div w:id="1402093927">
          <w:marLeft w:val="720"/>
          <w:marRight w:val="0"/>
          <w:marTop w:val="0"/>
          <w:marBottom w:val="0"/>
          <w:divBdr>
            <w:top w:val="none" w:sz="0" w:space="0" w:color="auto"/>
            <w:left w:val="none" w:sz="0" w:space="0" w:color="auto"/>
            <w:bottom w:val="none" w:sz="0" w:space="0" w:color="auto"/>
            <w:right w:val="none" w:sz="0" w:space="0" w:color="auto"/>
          </w:divBdr>
        </w:div>
        <w:div w:id="457919293">
          <w:marLeft w:val="840"/>
          <w:marRight w:val="0"/>
          <w:marTop w:val="0"/>
          <w:marBottom w:val="0"/>
          <w:divBdr>
            <w:top w:val="none" w:sz="0" w:space="0" w:color="auto"/>
            <w:left w:val="none" w:sz="0" w:space="0" w:color="auto"/>
            <w:bottom w:val="none" w:sz="0" w:space="0" w:color="auto"/>
            <w:right w:val="none" w:sz="0" w:space="0" w:color="auto"/>
          </w:divBdr>
        </w:div>
        <w:div w:id="1015014">
          <w:marLeft w:val="720"/>
          <w:marRight w:val="0"/>
          <w:marTop w:val="0"/>
          <w:marBottom w:val="0"/>
          <w:divBdr>
            <w:top w:val="none" w:sz="0" w:space="0" w:color="auto"/>
            <w:left w:val="none" w:sz="0" w:space="0" w:color="auto"/>
            <w:bottom w:val="none" w:sz="0" w:space="0" w:color="auto"/>
            <w:right w:val="none" w:sz="0" w:space="0" w:color="auto"/>
          </w:divBdr>
        </w:div>
        <w:div w:id="863859427">
          <w:marLeft w:val="600"/>
          <w:marRight w:val="0"/>
          <w:marTop w:val="0"/>
          <w:marBottom w:val="0"/>
          <w:divBdr>
            <w:top w:val="none" w:sz="0" w:space="0" w:color="auto"/>
            <w:left w:val="none" w:sz="0" w:space="0" w:color="auto"/>
            <w:bottom w:val="none" w:sz="0" w:space="0" w:color="auto"/>
            <w:right w:val="none" w:sz="0" w:space="0" w:color="auto"/>
          </w:divBdr>
        </w:div>
      </w:divsChild>
    </w:div>
    <w:div w:id="346562025">
      <w:bodyDiv w:val="1"/>
      <w:marLeft w:val="0"/>
      <w:marRight w:val="0"/>
      <w:marTop w:val="0"/>
      <w:marBottom w:val="0"/>
      <w:divBdr>
        <w:top w:val="none" w:sz="0" w:space="0" w:color="auto"/>
        <w:left w:val="none" w:sz="0" w:space="0" w:color="auto"/>
        <w:bottom w:val="none" w:sz="0" w:space="0" w:color="auto"/>
        <w:right w:val="none" w:sz="0" w:space="0" w:color="auto"/>
      </w:divBdr>
      <w:divsChild>
        <w:div w:id="1308317289">
          <w:marLeft w:val="0"/>
          <w:marRight w:val="0"/>
          <w:marTop w:val="0"/>
          <w:marBottom w:val="0"/>
          <w:divBdr>
            <w:top w:val="none" w:sz="0" w:space="0" w:color="auto"/>
            <w:left w:val="none" w:sz="0" w:space="0" w:color="auto"/>
            <w:bottom w:val="none" w:sz="0" w:space="0" w:color="auto"/>
            <w:right w:val="none" w:sz="0" w:space="0" w:color="auto"/>
          </w:divBdr>
          <w:divsChild>
            <w:div w:id="1998723138">
              <w:marLeft w:val="0"/>
              <w:marRight w:val="0"/>
              <w:marTop w:val="0"/>
              <w:marBottom w:val="0"/>
              <w:divBdr>
                <w:top w:val="none" w:sz="0" w:space="0" w:color="auto"/>
                <w:left w:val="none" w:sz="0" w:space="0" w:color="auto"/>
                <w:bottom w:val="none" w:sz="0" w:space="0" w:color="auto"/>
                <w:right w:val="none" w:sz="0" w:space="0" w:color="auto"/>
              </w:divBdr>
            </w:div>
            <w:div w:id="584999964">
              <w:marLeft w:val="0"/>
              <w:marRight w:val="0"/>
              <w:marTop w:val="0"/>
              <w:marBottom w:val="0"/>
              <w:divBdr>
                <w:top w:val="none" w:sz="0" w:space="0" w:color="auto"/>
                <w:left w:val="none" w:sz="0" w:space="0" w:color="auto"/>
                <w:bottom w:val="none" w:sz="0" w:space="0" w:color="auto"/>
                <w:right w:val="none" w:sz="0" w:space="0" w:color="auto"/>
              </w:divBdr>
            </w:div>
            <w:div w:id="600258357">
              <w:marLeft w:val="0"/>
              <w:marRight w:val="0"/>
              <w:marTop w:val="0"/>
              <w:marBottom w:val="0"/>
              <w:divBdr>
                <w:top w:val="none" w:sz="0" w:space="0" w:color="auto"/>
                <w:left w:val="none" w:sz="0" w:space="0" w:color="auto"/>
                <w:bottom w:val="none" w:sz="0" w:space="0" w:color="auto"/>
                <w:right w:val="none" w:sz="0" w:space="0" w:color="auto"/>
              </w:divBdr>
            </w:div>
            <w:div w:id="259796522">
              <w:marLeft w:val="0"/>
              <w:marRight w:val="0"/>
              <w:marTop w:val="0"/>
              <w:marBottom w:val="0"/>
              <w:divBdr>
                <w:top w:val="none" w:sz="0" w:space="0" w:color="auto"/>
                <w:left w:val="none" w:sz="0" w:space="0" w:color="auto"/>
                <w:bottom w:val="none" w:sz="0" w:space="0" w:color="auto"/>
                <w:right w:val="none" w:sz="0" w:space="0" w:color="auto"/>
              </w:divBdr>
            </w:div>
            <w:div w:id="398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8011">
      <w:bodyDiv w:val="1"/>
      <w:marLeft w:val="0"/>
      <w:marRight w:val="0"/>
      <w:marTop w:val="0"/>
      <w:marBottom w:val="0"/>
      <w:divBdr>
        <w:top w:val="none" w:sz="0" w:space="0" w:color="auto"/>
        <w:left w:val="none" w:sz="0" w:space="0" w:color="auto"/>
        <w:bottom w:val="none" w:sz="0" w:space="0" w:color="auto"/>
        <w:right w:val="none" w:sz="0" w:space="0" w:color="auto"/>
      </w:divBdr>
    </w:div>
    <w:div w:id="637340191">
      <w:bodyDiv w:val="1"/>
      <w:marLeft w:val="0"/>
      <w:marRight w:val="0"/>
      <w:marTop w:val="0"/>
      <w:marBottom w:val="0"/>
      <w:divBdr>
        <w:top w:val="none" w:sz="0" w:space="0" w:color="auto"/>
        <w:left w:val="none" w:sz="0" w:space="0" w:color="auto"/>
        <w:bottom w:val="none" w:sz="0" w:space="0" w:color="auto"/>
        <w:right w:val="none" w:sz="0" w:space="0" w:color="auto"/>
      </w:divBdr>
    </w:div>
    <w:div w:id="647633548">
      <w:bodyDiv w:val="1"/>
      <w:marLeft w:val="0"/>
      <w:marRight w:val="0"/>
      <w:marTop w:val="0"/>
      <w:marBottom w:val="0"/>
      <w:divBdr>
        <w:top w:val="none" w:sz="0" w:space="0" w:color="auto"/>
        <w:left w:val="none" w:sz="0" w:space="0" w:color="auto"/>
        <w:bottom w:val="none" w:sz="0" w:space="0" w:color="auto"/>
        <w:right w:val="none" w:sz="0" w:space="0" w:color="auto"/>
      </w:divBdr>
    </w:div>
    <w:div w:id="721058695">
      <w:bodyDiv w:val="1"/>
      <w:marLeft w:val="0"/>
      <w:marRight w:val="0"/>
      <w:marTop w:val="0"/>
      <w:marBottom w:val="0"/>
      <w:divBdr>
        <w:top w:val="none" w:sz="0" w:space="0" w:color="auto"/>
        <w:left w:val="none" w:sz="0" w:space="0" w:color="auto"/>
        <w:bottom w:val="none" w:sz="0" w:space="0" w:color="auto"/>
        <w:right w:val="none" w:sz="0" w:space="0" w:color="auto"/>
      </w:divBdr>
    </w:div>
    <w:div w:id="866218393">
      <w:bodyDiv w:val="1"/>
      <w:marLeft w:val="0"/>
      <w:marRight w:val="0"/>
      <w:marTop w:val="0"/>
      <w:marBottom w:val="0"/>
      <w:divBdr>
        <w:top w:val="none" w:sz="0" w:space="0" w:color="auto"/>
        <w:left w:val="none" w:sz="0" w:space="0" w:color="auto"/>
        <w:bottom w:val="none" w:sz="0" w:space="0" w:color="auto"/>
        <w:right w:val="none" w:sz="0" w:space="0" w:color="auto"/>
      </w:divBdr>
    </w:div>
    <w:div w:id="888684709">
      <w:bodyDiv w:val="1"/>
      <w:marLeft w:val="0"/>
      <w:marRight w:val="0"/>
      <w:marTop w:val="0"/>
      <w:marBottom w:val="0"/>
      <w:divBdr>
        <w:top w:val="none" w:sz="0" w:space="0" w:color="auto"/>
        <w:left w:val="none" w:sz="0" w:space="0" w:color="auto"/>
        <w:bottom w:val="none" w:sz="0" w:space="0" w:color="auto"/>
        <w:right w:val="none" w:sz="0" w:space="0" w:color="auto"/>
      </w:divBdr>
    </w:div>
    <w:div w:id="917405087">
      <w:bodyDiv w:val="1"/>
      <w:marLeft w:val="0"/>
      <w:marRight w:val="0"/>
      <w:marTop w:val="0"/>
      <w:marBottom w:val="0"/>
      <w:divBdr>
        <w:top w:val="none" w:sz="0" w:space="0" w:color="auto"/>
        <w:left w:val="none" w:sz="0" w:space="0" w:color="auto"/>
        <w:bottom w:val="none" w:sz="0" w:space="0" w:color="auto"/>
        <w:right w:val="none" w:sz="0" w:space="0" w:color="auto"/>
      </w:divBdr>
    </w:div>
    <w:div w:id="968974486">
      <w:bodyDiv w:val="1"/>
      <w:marLeft w:val="0"/>
      <w:marRight w:val="0"/>
      <w:marTop w:val="0"/>
      <w:marBottom w:val="0"/>
      <w:divBdr>
        <w:top w:val="none" w:sz="0" w:space="0" w:color="auto"/>
        <w:left w:val="none" w:sz="0" w:space="0" w:color="auto"/>
        <w:bottom w:val="none" w:sz="0" w:space="0" w:color="auto"/>
        <w:right w:val="none" w:sz="0" w:space="0" w:color="auto"/>
      </w:divBdr>
    </w:div>
    <w:div w:id="1349481304">
      <w:bodyDiv w:val="1"/>
      <w:marLeft w:val="0"/>
      <w:marRight w:val="0"/>
      <w:marTop w:val="0"/>
      <w:marBottom w:val="0"/>
      <w:divBdr>
        <w:top w:val="none" w:sz="0" w:space="0" w:color="auto"/>
        <w:left w:val="none" w:sz="0" w:space="0" w:color="auto"/>
        <w:bottom w:val="none" w:sz="0" w:space="0" w:color="auto"/>
        <w:right w:val="none" w:sz="0" w:space="0" w:color="auto"/>
      </w:divBdr>
    </w:div>
    <w:div w:id="1418406565">
      <w:bodyDiv w:val="1"/>
      <w:marLeft w:val="0"/>
      <w:marRight w:val="0"/>
      <w:marTop w:val="0"/>
      <w:marBottom w:val="0"/>
      <w:divBdr>
        <w:top w:val="none" w:sz="0" w:space="0" w:color="auto"/>
        <w:left w:val="none" w:sz="0" w:space="0" w:color="auto"/>
        <w:bottom w:val="none" w:sz="0" w:space="0" w:color="auto"/>
        <w:right w:val="none" w:sz="0" w:space="0" w:color="auto"/>
      </w:divBdr>
    </w:div>
    <w:div w:id="1462966002">
      <w:bodyDiv w:val="1"/>
      <w:marLeft w:val="0"/>
      <w:marRight w:val="0"/>
      <w:marTop w:val="0"/>
      <w:marBottom w:val="0"/>
      <w:divBdr>
        <w:top w:val="none" w:sz="0" w:space="0" w:color="auto"/>
        <w:left w:val="none" w:sz="0" w:space="0" w:color="auto"/>
        <w:bottom w:val="none" w:sz="0" w:space="0" w:color="auto"/>
        <w:right w:val="none" w:sz="0" w:space="0" w:color="auto"/>
      </w:divBdr>
    </w:div>
    <w:div w:id="1807700172">
      <w:bodyDiv w:val="1"/>
      <w:marLeft w:val="0"/>
      <w:marRight w:val="0"/>
      <w:marTop w:val="0"/>
      <w:marBottom w:val="0"/>
      <w:divBdr>
        <w:top w:val="none" w:sz="0" w:space="0" w:color="auto"/>
        <w:left w:val="none" w:sz="0" w:space="0" w:color="auto"/>
        <w:bottom w:val="none" w:sz="0" w:space="0" w:color="auto"/>
        <w:right w:val="none" w:sz="0" w:space="0" w:color="auto"/>
      </w:divBdr>
      <w:divsChild>
        <w:div w:id="483353749">
          <w:marLeft w:val="600"/>
          <w:marRight w:val="0"/>
          <w:marTop w:val="0"/>
          <w:marBottom w:val="0"/>
          <w:divBdr>
            <w:top w:val="none" w:sz="0" w:space="0" w:color="auto"/>
            <w:left w:val="none" w:sz="0" w:space="0" w:color="auto"/>
            <w:bottom w:val="none" w:sz="0" w:space="0" w:color="auto"/>
            <w:right w:val="none" w:sz="0" w:space="0" w:color="auto"/>
          </w:divBdr>
        </w:div>
        <w:div w:id="1254972829">
          <w:marLeft w:val="600"/>
          <w:marRight w:val="0"/>
          <w:marTop w:val="0"/>
          <w:marBottom w:val="0"/>
          <w:divBdr>
            <w:top w:val="none" w:sz="0" w:space="0" w:color="auto"/>
            <w:left w:val="none" w:sz="0" w:space="0" w:color="auto"/>
            <w:bottom w:val="none" w:sz="0" w:space="0" w:color="auto"/>
            <w:right w:val="none" w:sz="0" w:space="0" w:color="auto"/>
          </w:divBdr>
        </w:div>
      </w:divsChild>
    </w:div>
    <w:div w:id="1890727859">
      <w:bodyDiv w:val="1"/>
      <w:marLeft w:val="0"/>
      <w:marRight w:val="0"/>
      <w:marTop w:val="0"/>
      <w:marBottom w:val="0"/>
      <w:divBdr>
        <w:top w:val="none" w:sz="0" w:space="0" w:color="auto"/>
        <w:left w:val="none" w:sz="0" w:space="0" w:color="auto"/>
        <w:bottom w:val="none" w:sz="0" w:space="0" w:color="auto"/>
        <w:right w:val="none" w:sz="0" w:space="0" w:color="auto"/>
      </w:divBdr>
    </w:div>
    <w:div w:id="20135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48B2-F211-4BC5-9FFE-A9C9243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7650</Words>
  <Characters>4361</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2020-03-10T11:06:00Z</dcterms:created>
  <dcterms:modified xsi:type="dcterms:W3CDTF">2022-02-02T13:34:00Z</dcterms:modified>
</cp:coreProperties>
</file>