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4C" w:rsidRDefault="009D53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ПОЯСНЮВАЛЬНА ЗАПИСКА</w:t>
      </w:r>
    </w:p>
    <w:p w:rsidR="00A23F4C" w:rsidRDefault="009D53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проекту Закону України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внесення змін до деяких законодавчих актів України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щ</w:t>
      </w:r>
      <w:r w:rsidRPr="00E57724">
        <w:rPr>
          <w:rFonts w:ascii="Times New Roman" w:hAnsi="Times New Roman"/>
          <w:b/>
          <w:bCs/>
          <w:sz w:val="28"/>
          <w:szCs w:val="28"/>
          <w:lang w:val="ru-RU"/>
        </w:rPr>
        <w:t>одо</w:t>
      </w:r>
      <w:r w:rsidRPr="00E5772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приведення у відповідність до Конституції</w:t>
      </w:r>
      <w:r w:rsidRPr="00E5772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норм про </w:t>
      </w:r>
      <w:r>
        <w:rPr>
          <w:rFonts w:ascii="Times New Roman" w:hAnsi="Times New Roman"/>
          <w:b/>
          <w:bCs/>
          <w:color w:val="1D2129"/>
          <w:sz w:val="28"/>
          <w:szCs w:val="28"/>
          <w:shd w:val="clear" w:color="auto" w:fill="FFFFFF"/>
          <w:lang w:val="ru-RU"/>
        </w:rPr>
        <w:t>охорон</w:t>
      </w:r>
      <w:r>
        <w:rPr>
          <w:rFonts w:ascii="Times New Roman" w:hAnsi="Times New Roman"/>
          <w:b/>
          <w:bCs/>
          <w:color w:val="1D2129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/>
          <w:b/>
          <w:bCs/>
          <w:color w:val="1D2129"/>
          <w:sz w:val="28"/>
          <w:szCs w:val="28"/>
          <w:shd w:val="clear" w:color="auto" w:fill="FFFFFF"/>
          <w:lang w:val="ru-RU"/>
        </w:rPr>
        <w:t xml:space="preserve"> сім'ї, дитинства, материнства і батьківства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A23F4C" w:rsidRDefault="00A23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23F4C" w:rsidRDefault="009D53D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законопроекту</w:t>
      </w:r>
    </w:p>
    <w:p w:rsidR="00A23F4C" w:rsidRDefault="009D53D2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Керуючись Конституцією України та визнаними Україною міжнародними правовими документами, держава має зобов’язання перед інститутом сім’ї щодо її розвитку та захисту.</w:t>
      </w:r>
    </w:p>
    <w:p w:rsidR="00A23F4C" w:rsidRDefault="009D53D2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Згідно 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статтею 51 Конституції України сім’я, дитинство, материнст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 і батьківство охороняються державою. Відповідно до статті 16 Загальної декларації прав людини сім’я є природним </w:t>
      </w:r>
      <w:r>
        <w:rPr>
          <w:rFonts w:ascii="Times New Roman" w:eastAsia="Calibri" w:hAnsi="Times New Roman" w:cs="Times New Roman"/>
          <w:sz w:val="28"/>
          <w:szCs w:val="28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основним осередком суспільства </w:t>
      </w:r>
      <w:r>
        <w:rPr>
          <w:rFonts w:ascii="Times New Roman" w:eastAsia="Calibri" w:hAnsi="Times New Roman" w:cs="Times New Roman"/>
          <w:sz w:val="28"/>
          <w:szCs w:val="28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має право на захист з боку суспільства та держави. У статті 23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Міжнародного пакту про громадянські та полі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тичні права зазначено, що сім’я є природним і основним осередком суспільства та має право на захист з боку суспільства і держави.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</w:p>
    <w:p w:rsidR="00A23F4C" w:rsidRDefault="009D53D2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Згідно статті 29 Конвенції ООН про права дитини, яка прийнята резолюцією 44/25 Генеральної Асамблеї ООН від 20 листопада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1989 року та ратифікована Постановою Верховної Ради України № 789ХІІ від 27 лютого 1991 року, яка набула чинності для України 27 вересня 1991 року, в підпункті “с” пункту 1 зазначено, що держави-учасниці погоджуються щодо того, що освіта дитини має бути сп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рямована на виховання поваги до батьків дитини, її культурної самобутності, мови і національних цінностей країни, в якій дитина проживає.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</w:p>
    <w:p w:rsidR="00A23F4C" w:rsidRDefault="009D53D2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Серед загроз сучасності викликає глибоку стурбованість зростаюча тенденція публічної пропаганди аморальних відхил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ень від конституційної норми сім’ї, зазначеної в статті 51 Конституції України, що унеможливлює виховання дітей в конституційному руслі, чим порушуються права дітей і їхніх батьків.</w:t>
      </w:r>
    </w:p>
    <w:p w:rsidR="00A23F4C" w:rsidRDefault="009D53D2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ЛГБТ-спільноти протягом багатьох років намагаються довести суспільств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у, що їхній спосіб життя є вродженим на відміну від зоофілії, некрофілії чи педофілії. Але під час наукових досліджень, результати якого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 2019 році були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оприлюднені в журналі Science, були вивчені дані з Біобанку Великої Британії і американської біотех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нологічної компанії «23andMe», і виявлено, що гена, відповідального за гомосексуалізм, не існує. За словами Девіда Кьортіса, професора Інституту генетики Каліфорнійського університету,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це дослідження явно демонструє, що не існує такого поняття, як "ген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геїв"». Більше того, під час наукових досліджень великої репрезентативної вибірки </w:t>
      </w:r>
      <w:r>
        <w:rPr>
          <w:rFonts w:ascii="Times New Roman" w:eastAsia="Calibri" w:hAnsi="Times New Roman" w:cs="Times New Roman"/>
          <w:sz w:val="28"/>
          <w:szCs w:val="28"/>
        </w:rPr>
        <w:t>National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Longitudinal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Study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of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Adolescent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Health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було виявлено, що серед старшокласників, які мали сексуальний потяг виключно до осіб своєї статі, через рік 48% мали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сексуа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льний потяг виключно до осіб протилежної статі. Подібні результати фіксуються і у інших великих репрезентативних вибірках, досліджених іншими вченими. Це доводить, що у молодому віці людина може вилікуватись від гомосексуалізму навіть без цілеспрямованого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лікування. Більше того, наукові дані дають підстави зробити висновок, що гомосексуалізм є не вродженою вадою, а набутою внаслідок аморальної поведінки. </w:t>
      </w:r>
    </w:p>
    <w:p w:rsidR="00A23F4C" w:rsidRDefault="009D53D2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Пропаганда гомосексуалізму та трансгендеризму становить загрозу для здоров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 населення. Зокрема,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Центри з контролю і профілактики захворювань в США (</w:t>
      </w:r>
      <w:r>
        <w:rPr>
          <w:rFonts w:ascii="Times New Roman" w:eastAsia="Calibri" w:hAnsi="Times New Roman" w:cs="Times New Roman"/>
          <w:sz w:val="28"/>
          <w:szCs w:val="28"/>
          <w:lang w:val="en"/>
        </w:rPr>
        <w:t>Centers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"/>
        </w:rPr>
        <w:t>for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"/>
        </w:rPr>
        <w:t>Disease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"/>
        </w:rPr>
        <w:t>Control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"/>
        </w:rPr>
        <w:t>and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"/>
        </w:rPr>
        <w:t>Prevention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) вказують, що чоловіки, що мають секс з чоловіками, мають у понад 44 рази більший ризик захворіти на ВІЛ та у понад 46 разів вищий ризик захворіти на сифіліс, ні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ж інші чоловіки. Застосування блокаторів пубертату, гормональної терапії та хірургічної операції зі «зміни статі» є незворотнім каліцтвом людини. Кількість звернень до єдиної у Великобританії гендерної клініки для неповнолітніх зросла у понад 35 разів за 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есять років. З’являється все більше людей, які усвідомлюють, що здійснення «трансгендерного переходу» було помилкою, і намагаються здійснити зворотній перехід. Все більше людей  подають до суду на клініки, які зруйнували їх життя за допомогою «трансгендерн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ого переходу». Зокрема, Кіра Белл (</w:t>
      </w:r>
      <w:r>
        <w:rPr>
          <w:rFonts w:ascii="Times New Roman" w:eastAsia="Calibri" w:hAnsi="Times New Roman" w:cs="Times New Roman"/>
          <w:sz w:val="28"/>
          <w:szCs w:val="28"/>
        </w:rPr>
        <w:t>Keira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Bell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вже виграла таку судову справу.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У Швеції заборонили застосовувати блокатори пубертату на дітях до 16 років.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Зважаючи на вищевказане, Україні слід заборонити пропаганду гомосексуалізму та трансгендеризму з мето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ю захисту здоров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 населення. </w:t>
      </w:r>
    </w:p>
    <w:p w:rsidR="00A23F4C" w:rsidRDefault="009D53D2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Що насправді ховається за нав’язуваним Україні терміном “гендер”? Антисімейна гендерна ідеологія передбачає руйнування інституту сім’ї, як союзу чоловіка та жінки. Основною тезою гендерної ідеології є заперечення природн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их статей, натомість проголошується право обирати так званий "гендер". В результаті руйнується переконання, що хлопець є хлопцем, дівчина – дівчиною, а сім’я – це союз чоловіка і жінки.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Пропаганда гендерної ідеології вже почалася не лише у інформаційному 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росторі, але і в деяких школах в Україні. Зокрема, посібник для тренера «Репродуктивне здоров’я та відповідальна поведінка учнівської молоді», схвалений для використання у загальноосвітніх навчальних закладах за висновком комісії з основ здоров’я Науково-м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етодичної Ради з питань освіти Міністерства освіти і науки України (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Лист ДНУ «Інститут модернізації змісту освіти» від 19.12.2017 №21-1/12/Г-824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), передбачає навчати дітей, що гендер може відрізнятися від статі: «Ґендерна ідентичність може співпадати зі ст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аттю людини (визначеною при народженні) або може відрізнятися від неї».  Розроблений за участю Міністерства освіти і науки України комплект навчальних програм наскрізного інтегрованого курсу за вибором «Культура добросусідства» передбачає, що на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кінець 9 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ласу учень повинен розуміти різницю між статтю і гендером. Гендерна ідеологія все частіше стає причиною грубого порушення прав батьків. Наприклад, дівчинку можуть переконати, що вона хлопчик, а батьку заборонити втручатися і зобов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язати звертатися до доньк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и, використовуючи чоловіче ім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 і займенники. Подібний випадок трапився з Робертом Хугландом (</w:t>
      </w:r>
      <w:r>
        <w:rPr>
          <w:rFonts w:ascii="Times New Roman" w:eastAsia="Calibri" w:hAnsi="Times New Roman" w:cs="Times New Roman"/>
          <w:sz w:val="28"/>
          <w:szCs w:val="28"/>
        </w:rPr>
        <w:t>Robert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Hoogland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), якого навіть заарештували за те, що він публічно виступав проти «трансгендерного переходу» своєї доньки та публічно говорив про свою доньку саме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про доньку, а не як про сина. Такі абсурдні випадки можуть траплятися все частіше через те, що багато людей, в тому числі вчителі, лікарі і судді, тривалий час знаходяться під впливом пропаганди гомосексуалізму і трансгендеризму.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</w:p>
    <w:p w:rsidR="00A23F4C" w:rsidRDefault="009D53D2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Пропаганда гомос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ексуалізму призводить і до порушення права на свободу наукових досліджень. Всесвітньо відомого вченого Ульріха Кучеру (</w:t>
      </w:r>
      <w:r>
        <w:rPr>
          <w:rFonts w:ascii="Times New Roman" w:eastAsia="Calibri" w:hAnsi="Times New Roman" w:cs="Times New Roman"/>
          <w:sz w:val="28"/>
          <w:szCs w:val="28"/>
        </w:rPr>
        <w:t>Ulrich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Kutschera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) протягом майже двох років переслідували у судовому порядку за те, що він на підставі наукових даних вказував на безпосе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редній зв’язок між гомосексуалізмом і педофілією. Таким чином посилається потужний сигнал усім ученим: якщо результати ваших наукових досліджень будуть недостатньо політкоректними, то вас будуть переслідувати.</w:t>
      </w:r>
    </w:p>
    <w:p w:rsidR="00A23F4C" w:rsidRDefault="009D53D2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Пропаганда гомосексуалізму також призводи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ть до порушення права на свободу висловлювань та свободу віросповідання. Наприклад, студента Фелікса Нголе (</w:t>
      </w:r>
      <w:r>
        <w:rPr>
          <w:rFonts w:ascii="Times New Roman" w:eastAsia="Calibri" w:hAnsi="Times New Roman" w:cs="Times New Roman"/>
          <w:sz w:val="28"/>
          <w:szCs w:val="28"/>
        </w:rPr>
        <w:t>Felix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Ngole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вигнали з університету за те, що він у коментарі у фейсбуці визнав, що, згідно з Біблією, гомосексуалізм є гріхом. Після цього студент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роками боровся у судах за право продовжити навчання. </w:t>
      </w:r>
    </w:p>
    <w:p w:rsidR="00A23F4C" w:rsidRDefault="009D53D2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Гендерну ідеологію все активніше впроваджують в законодавство та інші нормативно-правові акти. Наказ Міністерства соціальної політики №86 від 07.02.2020 містить таке означення терміну гендер: «генд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ер - соціально закріплені ролі, поведінка, діяльність і характерні ознаки, які певне суспільство вважає належними для жінок/чоловіків». В цьому ж наказі міститься і означення статі, яке явно відрізняється від означення «гендеру». Стамбульська конвенція в 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азі ратифікації затвердить це означення терміну «гендер» на законодавчому рівні. Більше того, Стамбульська конвенція прямо зобов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язує навчати учнів «нестереотипним гендерним ролям» (стаття 14). Тому використання терміну «гендер» в законодавстві чи інших 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рмативно-правових актах є дуже небепечним, адже використання терміну «гендер» буде витлумачено як визнання, що людина не народжується ні чоловіком, ні жінкою, а сама може вибирати собі стать. Незнанням людей справжньої суті, яка ховається за терміном «генд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ер», спритно користуються гендерні організації, які просувають гендерне законодавство через парламент України, наслідком цього стало ухвалення Верховною Радою України у 2005 році Закону України №2866-</w:t>
      </w:r>
      <w:r>
        <w:rPr>
          <w:rFonts w:ascii="Times New Roman" w:eastAsia="Calibri" w:hAnsi="Times New Roman" w:cs="Times New Roman"/>
          <w:sz w:val="28"/>
          <w:szCs w:val="28"/>
        </w:rPr>
        <w:t>IV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«Державна політика забезпечення рівних прав та можли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востей жінок і чоловіків спрямована на утвердження ґендерної рівності; недопущення дискримінації за ознакою статі». Таким чином, термін «гендер» увійшов у наше законодавство та поклав початок широкій пропаганді гендерної рівності, яка за суттю своєю є явно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ю чи прихованою пропагандою гомосексуалізму та трансгендеризму, що випливає з визначення терміну «гендер». Тому коли захисники гендеру говорять про гендерну рівність, насправді мають на увазі не рівність між двома біологічними статями – чоловіком та жінкою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але ще й рівність між соціальними статями, яких, на думку ідеологів «гендеру», є багато.</w:t>
      </w:r>
    </w:p>
    <w:p w:rsidR="00A23F4C" w:rsidRDefault="009D53D2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Згідно розпорядження Кабінету міністрів України №598-р від 5 липня 2019 року, за бюджетні кошти для поповнення бібліотечних фондів було закуплено 1240 дитячих 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нижок «Принцеса + принцеса: довго і щасливо», що містять пропаганду гомосексуалізму. Це грубе порушення прав батьків, які категорично проти того, щоб їхнім дітям нав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язували неконституційні моделі шлюбу, та ще й за бюджетні кошти.</w:t>
      </w:r>
    </w:p>
    <w:p w:rsidR="00A23F4C" w:rsidRDefault="009D53D2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Нерідко нав’язування пропаганди гомосексуалізму обгрунтовують тим, що гомосексуалізм був вилучений з переліку психічних розладів. Але вилученння відбулось не на підставі наукових даних, а під тиском і на основі ідеологічних причин. Зокрема, стаття «Іс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торія депатологізації гомосексуалізму», опублікована на офіційному сайті Асоціації сексологів і сексотерапевтів України, вказує на те, що виключення гомосексуалізму зі списку психічних розладів відбулося без проведення наукових досліджень, відбулося через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тиск (Стоунволльські бунти, зриви конференцій Асоціації психіатрів Америки, образи та погрози фізичної розправи) та базувалось на ідеологічних міркуваннях. Спроби обгрунтовувати цим нав’язування пропаганди гомосексуалізму є антиконституційними. Тому що згі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дно зі статтею 15 Конституції України, жодна ідеологія не може визнаватися державою як обов’язкова. 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</w:p>
    <w:p w:rsidR="00A23F4C" w:rsidRDefault="009D53D2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В країнах заходу посилюється пропаганда педофілії. Зокрема, Хельмут Граупнер (</w:t>
      </w:r>
      <w:r>
        <w:rPr>
          <w:rFonts w:ascii="Times New Roman" w:eastAsia="Calibri" w:hAnsi="Times New Roman" w:cs="Times New Roman"/>
          <w:sz w:val="28"/>
          <w:szCs w:val="28"/>
        </w:rPr>
        <w:t>Helmut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Graupner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), відомий «захисник прав ЛГБТ», написав «наукову статтю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 («</w:t>
      </w:r>
      <w:r>
        <w:rPr>
          <w:rFonts w:ascii="Times New Roman" w:eastAsia="Calibri" w:hAnsi="Times New Roman" w:cs="Times New Roman"/>
          <w:sz w:val="28"/>
          <w:szCs w:val="28"/>
        </w:rPr>
        <w:t>Love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versus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abuse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crossgenerational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sexual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relationships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of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minors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a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gay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rights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issue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?»), в якій «доводить», що можливість дорослих гомосексуалістів за взаємною згодою мати сексуальні стосунки з дітьми, яким виповнилось 14 років, є «правами гомосексу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алістів». Більше того, він вважає, що в деяких випадках не потрібно карати гомосексуаліста, який «за взаємною згодою» мав сексуальні стосунки з дитиною молодше 14 років. Річард Грін (</w:t>
      </w:r>
      <w:r>
        <w:rPr>
          <w:rFonts w:ascii="Times New Roman" w:eastAsia="Calibri" w:hAnsi="Times New Roman" w:cs="Times New Roman"/>
          <w:sz w:val="28"/>
          <w:szCs w:val="28"/>
        </w:rPr>
        <w:t>Richard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Green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), вчений, який боровся за вилучення гомосексуалізму зі спис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ку психічних розладів, зараз намагається довести, що сексуальні стосунки з дітьми, які ще не досягли статевого дозрівання, не слід вважати психічним відхиленням. Для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цього він опублікував «наукову статтю»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pedophilia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mental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disorder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), в якій наводить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маніпуляції, дуже схожі на ті, які використовувались для вилучення гомосексуалізму зі списку хвороб. У 2020 році відновила свою діяльність політична партія (Party for Neighbourly Love, Freedom, and Diversity), що має на меті спочатку зниження віку сексуал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ьної згоди до 12 років, а з часом – повне скасування віку сексуальної згоди. У 2020 році була опублікована «наукова стаття» «</w:t>
      </w:r>
      <w:r>
        <w:rPr>
          <w:rFonts w:ascii="Times New Roman" w:eastAsia="Calibri" w:hAnsi="Times New Roman" w:cs="Times New Roman"/>
          <w:sz w:val="28"/>
          <w:szCs w:val="28"/>
        </w:rPr>
        <w:t>Should Behavior Harmful to Others Be a Sufficient Criterion of Mental disorders? Conceptual Problems of the Diagnoses of Antisocial</w:t>
      </w:r>
      <w:r>
        <w:rPr>
          <w:rFonts w:ascii="Times New Roman" w:eastAsia="Calibri" w:hAnsi="Times New Roman" w:cs="Times New Roman"/>
          <w:sz w:val="28"/>
          <w:szCs w:val="28"/>
        </w:rPr>
        <w:t xml:space="preserve"> Personality disorder and Pedophilic Disorder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», в якій переконують вважати психічно хворим лише того педофіла, який засмучений або страждає через те, що є педофілом. Поки що переважна більшість населення країн заходу виступає проти нормалізації або легаліз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ації педофілії. Однак раніше така ж ситуація була і з гомосексуалізмом та трансгендеризмом, але суспільна думка з цього приводу сильно змінилась після кількох десятиліть пропаганди. Тому важливо не допустити початку пропаганди педофілії в Україні заради за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хисту фізичного і психічного здоров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 дітей, в інтересах національної безпеки та громадського порядку.</w:t>
      </w:r>
    </w:p>
    <w:p w:rsidR="00A23F4C" w:rsidRDefault="009D53D2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Пропаганда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педофілії,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гомосексуалізму та трансгендеризму, визначення яких детально описано в проекті Закону України «Про внесення змін до деяких за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конодавчих актів України охорони сім’ї, дитинства, материнства і батьківства», складає реальну загрозу національній безпеці України, оскільки призводить до епідемії ВІЛ/СНІД, незворотного каліцтва людей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(«трансгендерний перехід»), порушення права на свобод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 слова і віросповідання, порушення права на свободу наукових досліджень,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руйнації інституту сім'ї, демографічної кризи,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унеможливлює виховання дітей в конституційному руслі, чим порушуються права дітей та їхніх батьків. Тому пропаганда педофілії, гомосекс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уалізму та трансгендеризму є не менш небезпечною, ніж пропаганда комунізму і фашизму. Пропаганда комунізму і фашизму вже заборонені в Україні.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Запровадження адміністративної відповідальності за пропаганду педофілії, гомосексуалізму та трансгендеризму є важливим кроком, якого потребує українське суспільство.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A23F4C" w:rsidRDefault="009D53D2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У Законі України «Про захист суспільної моралі» є означення "суспільна мораль – система етичних норм, правил поведінки, що склалися у суспільстві на основі традиційних духовних і культурних цінностей, уявлень про добро, честь, гідність, громадський об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ов'язок, совість, справедливість." В статті 5 цього закону написано: "Змістом державної політики у сфері захисту суспільної моралі є створення необхідних правових, економічних та організаційних умов, які сприяють реалізації права на інформаційний простір,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вільний від матеріалів, що становлять загрозу фізичному, інтелектуальному, морально-психологічному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стану населення." Даний законопроект якраз є важливим кроком в тому, щоб сприяти "реалізації права на інформаційний простір, вільний від матеріалів, що стано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влять загрозу фізичному, інтелектуальному, морально-психологічному стану населення", адже цілком очевидно, що гомосексуалізм, трансгендеризм, педофілія руйнують суспільну мораль. І це стає ще більш зрозуміло не тільки з означення суспільної моралі, але і п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ісля ознайомлення з науковими даними про сотні інтимних партнерів у гомосексуалістів та про кількість "розлучень" серед гомосексуалістів там, де у них є право укладати "шлюб".</w:t>
      </w:r>
    </w:p>
    <w:p w:rsidR="00A23F4C" w:rsidRDefault="009D53D2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Європі, як і в цілому світі загалом, немає єдиної позиції щодо інституту 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ім’ї, і позиція багатьох європейських країн щодо Стамбульської конвенції яскраво свідчить, що Європа не є одностайною в цих питаннях. Україна обрала європейський вектор розвитку, і по прикладу Литви та інших європейських захисників інституту сім’ї, повинна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послідовно реалізувати своє право на збереження національних цінностей своєї країни – розумінні сім’ї як законного союзу чоловіка та жінки, які народжують і виховують дітей.</w:t>
      </w:r>
    </w:p>
    <w:p w:rsidR="00A23F4C" w:rsidRDefault="009D53D2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Відповідно існує нагальна необхідність внесення змін до законодавства в інте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ресах національної безпеки – для охорони здоров’я населення, з метою захисту прав людей на свободу слова і віросповідання, захисту права батьків на виховання власних дітей, захисту свободи наукових досліджень та з метою забезпечення формування засад держав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ної сімейної політики – запровадження Національної стратегії охорони сім'ї, дитинства, материнства та батьківства на основі традиційних сімейних цінностей України – розумінні сім’ї як законного союзу чоловіка та жінки, які народжують і виховують дітей.</w:t>
      </w:r>
    </w:p>
    <w:p w:rsidR="00A23F4C" w:rsidRDefault="009D53D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2.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Цілі і завдання законопроекту</w:t>
      </w:r>
    </w:p>
    <w:p w:rsidR="00A23F4C" w:rsidRDefault="009D53D2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Метою законопроекту є посилення охорони сім’ї, дитинства, материнства і батьківства на законодавчому рівні.</w:t>
      </w:r>
    </w:p>
    <w:p w:rsidR="00A23F4C" w:rsidRDefault="009D53D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3. Загальна характеристика та основні положення акту</w:t>
      </w:r>
    </w:p>
    <w:p w:rsidR="00A23F4C" w:rsidRDefault="009D53D2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Законопроектом вносяться зміни до Законів України: “Про д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руковані засоби масової інформації (пресу) в Україні", "Про телебачення і радіомовлення", "Про кінематографію", "Про фізичну культуру і спорт", "Про видавничу справу", "Про захист суспільної моралі", "Про забезпечення рівних прав та можливостей жінок і чол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овіків", "Про освіту", "Про наукову і науково-технічну діяльність", “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”, якими передбачено:</w:t>
      </w:r>
    </w:p>
    <w:p w:rsidR="00A23F4C" w:rsidRDefault="009D53D2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 заміна (вилучення) термінів "сексуальна орієнтація", "ґендерна ідентичність", "ґендерна рівність" та "ґендерно-правова експертиза", а також по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дібних, як таких, що несуть виключно ідеологічне та антинаукове навантаження у законодавчих актах України, на відповідні терміни "рівність прав та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можливостей жінок і чоловіків", "правова експертиза забезпечення рівності прав та можливостей жінок і чоловік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ів", "культури забезпечення рівності прав та можливостей жінок і чоловіків" відповідно.</w:t>
      </w:r>
    </w:p>
    <w:p w:rsidR="00A23F4C" w:rsidRDefault="009D53D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4. Стан нормативно-правової бази у даній сфері правового регулювання</w:t>
      </w:r>
    </w:p>
    <w:p w:rsidR="00A23F4C" w:rsidRDefault="009D53D2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цій сфері діють такі законодавчі акти України та міжнародні договори:</w:t>
      </w:r>
    </w:p>
    <w:p w:rsidR="00A23F4C" w:rsidRDefault="009D53D2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 Конституція України;</w:t>
      </w:r>
    </w:p>
    <w:p w:rsidR="00A23F4C" w:rsidRDefault="009D53D2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 Конвенція ООН про права дитини;</w:t>
      </w:r>
    </w:p>
    <w:p w:rsidR="00A23F4C" w:rsidRDefault="009D53D2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 Закони України "Про друковані засоби масової інформації (пресу) в Україні", "Про телебачення і радіомовлення", “Про кінематографію”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"Про фізичну культуру і спорт", "Про видавничу справу", "Про захист суспільної моралі",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"Про забезпечення рівних прав та можливостей жінок і чоловіків", "Про телекомунікації”, "Про наукову і науково-технічну діяльність", “Про освіту”, “Про вищу освіту”, “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”.</w:t>
      </w:r>
    </w:p>
    <w:p w:rsidR="00A23F4C" w:rsidRDefault="009D53D2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Реалізація законопроекту не потребує внесення змін до інших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законодавчих актів.</w:t>
      </w:r>
    </w:p>
    <w:p w:rsidR="00A23F4C" w:rsidRDefault="009D53D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5. Фінансово</w:t>
      </w:r>
      <w:r w:rsidRPr="00E57724">
        <w:rPr>
          <w:rFonts w:ascii="Times New Roman" w:eastAsia="Calibri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економічне обґрунтування</w:t>
      </w:r>
    </w:p>
    <w:p w:rsidR="00A23F4C" w:rsidRDefault="009D53D2">
      <w:pPr>
        <w:ind w:firstLine="28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Прийняття закону не потребує додаткових видатків з Державного бюджету України або місцевих бюджетів.</w:t>
      </w:r>
    </w:p>
    <w:p w:rsidR="00A23F4C" w:rsidRDefault="00A23F4C">
      <w:pPr>
        <w:ind w:firstLine="28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23F4C" w:rsidRDefault="009D53D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6. Обґрунтування очікуваних соціально-економічних наслідків прийняття законопроекту</w:t>
      </w:r>
    </w:p>
    <w:p w:rsidR="00A23F4C" w:rsidRDefault="009D53D2">
      <w:pPr>
        <w:ind w:firstLine="28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Прийняття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законопроекту сприятиме забезпеченню виконання статті 51 Конституції України щодо охорони державою сім’ї, дитинства, материнства і батьківства.</w:t>
      </w:r>
    </w:p>
    <w:p w:rsidR="00A23F4C" w:rsidRDefault="00A23F4C">
      <w:pPr>
        <w:ind w:firstLine="28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23F4C" w:rsidRDefault="009D53D2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Народний депутат України 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Мазурашу Г. Г.</w:t>
      </w:r>
    </w:p>
    <w:p w:rsidR="00A23F4C" w:rsidRDefault="00A23F4C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23F4C">
      <w:pgSz w:w="12240" w:h="15840"/>
      <w:pgMar w:top="914" w:right="850" w:bottom="84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3D2" w:rsidRDefault="009D53D2">
      <w:pPr>
        <w:spacing w:line="240" w:lineRule="auto"/>
      </w:pPr>
      <w:r>
        <w:separator/>
      </w:r>
    </w:p>
  </w:endnote>
  <w:endnote w:type="continuationSeparator" w:id="0">
    <w:p w:rsidR="009D53D2" w:rsidRDefault="009D5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3D2" w:rsidRDefault="009D53D2">
      <w:pPr>
        <w:spacing w:after="0" w:line="240" w:lineRule="auto"/>
      </w:pPr>
      <w:r>
        <w:separator/>
      </w:r>
    </w:p>
  </w:footnote>
  <w:footnote w:type="continuationSeparator" w:id="0">
    <w:p w:rsidR="009D53D2" w:rsidRDefault="009D5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FA"/>
    <w:rsid w:val="000C4349"/>
    <w:rsid w:val="00132D00"/>
    <w:rsid w:val="001B48A3"/>
    <w:rsid w:val="002A4627"/>
    <w:rsid w:val="0031239E"/>
    <w:rsid w:val="00481220"/>
    <w:rsid w:val="006B4CA4"/>
    <w:rsid w:val="006D5AFE"/>
    <w:rsid w:val="00846133"/>
    <w:rsid w:val="00894CB1"/>
    <w:rsid w:val="009213FA"/>
    <w:rsid w:val="009545A6"/>
    <w:rsid w:val="00961582"/>
    <w:rsid w:val="0096700B"/>
    <w:rsid w:val="0097701C"/>
    <w:rsid w:val="009C2067"/>
    <w:rsid w:val="009D03BB"/>
    <w:rsid w:val="009D39EB"/>
    <w:rsid w:val="009D53D2"/>
    <w:rsid w:val="009F03E8"/>
    <w:rsid w:val="00A23F4C"/>
    <w:rsid w:val="00A6193A"/>
    <w:rsid w:val="00AD5DA1"/>
    <w:rsid w:val="00B62A2D"/>
    <w:rsid w:val="00B87F99"/>
    <w:rsid w:val="00B93B63"/>
    <w:rsid w:val="00CD393E"/>
    <w:rsid w:val="00E57724"/>
    <w:rsid w:val="00F8002D"/>
    <w:rsid w:val="00F808F9"/>
    <w:rsid w:val="00F836AF"/>
    <w:rsid w:val="2B8621CD"/>
    <w:rsid w:val="43CF3B83"/>
    <w:rsid w:val="519E176F"/>
    <w:rsid w:val="5E7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C7909-FF2E-4C32-908D-A9BC5E20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F35070-8281-4647-A4B5-AC1EAF86AE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7ADF2CBB-B874-4A34-BF19-A0321D3EF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EA81DE-4386-4B3F-870D-A89F0ECE68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11255</Words>
  <Characters>6416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2021-11-19T09:46:00Z</dcterms:created>
  <dcterms:modified xsi:type="dcterms:W3CDTF">2021-11-19T09:46:00Z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  <property fmtid="{D5CDD505-2E9C-101B-9397-08002B2CF9AE}" pid="3" name="KSOProductBuildVer">
    <vt:lpwstr>1049-11.2.0.10130</vt:lpwstr>
  </property>
</Properties>
</file>