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5F98" w14:textId="5D6DA074" w:rsidR="00B97C17" w:rsidRPr="006E6FAD" w:rsidRDefault="00B97C17" w:rsidP="002D2C49">
      <w:pPr>
        <w:tabs>
          <w:tab w:val="left" w:pos="7938"/>
        </w:tabs>
        <w:suppressAutoHyphens/>
        <w:autoSpaceDE w:val="0"/>
        <w:autoSpaceDN w:val="0"/>
        <w:adjustRightInd w:val="0"/>
        <w:ind w:left="142"/>
        <w:jc w:val="center"/>
        <w:rPr>
          <w:rFonts w:ascii="Times New Roman" w:hAnsi="Times New Roman"/>
          <w:b/>
          <w:bCs/>
          <w:sz w:val="28"/>
          <w:szCs w:val="28"/>
          <w:lang w:val="uk-UA"/>
        </w:rPr>
      </w:pPr>
      <w:bookmarkStart w:id="0" w:name="_GoBack"/>
      <w:bookmarkEnd w:id="0"/>
      <w:r w:rsidRPr="006E6FAD">
        <w:rPr>
          <w:rFonts w:ascii="Times New Roman" w:hAnsi="Times New Roman"/>
          <w:b/>
          <w:bCs/>
          <w:sz w:val="28"/>
          <w:szCs w:val="28"/>
          <w:lang w:val="uk-UA"/>
        </w:rPr>
        <w:t xml:space="preserve">ПОРІВНЯЛЬНА ТАБЛИЦЯ </w:t>
      </w:r>
      <w:r w:rsidR="001A6C54" w:rsidRPr="006E6FAD">
        <w:rPr>
          <w:rFonts w:ascii="Times New Roman" w:hAnsi="Times New Roman"/>
          <w:b/>
          <w:bCs/>
          <w:sz w:val="28"/>
          <w:szCs w:val="28"/>
          <w:lang w:val="uk-UA"/>
        </w:rPr>
        <w:br/>
      </w:r>
      <w:r w:rsidRPr="006E6FAD">
        <w:rPr>
          <w:rFonts w:ascii="Times New Roman" w:hAnsi="Times New Roman"/>
          <w:b/>
          <w:bCs/>
          <w:sz w:val="28"/>
          <w:szCs w:val="28"/>
          <w:lang w:val="uk-UA"/>
        </w:rPr>
        <w:t>до проекту Закону України «</w:t>
      </w:r>
      <w:r w:rsidR="002E2F0A" w:rsidRPr="006E6FAD">
        <w:rPr>
          <w:rFonts w:ascii="Times New Roman" w:hAnsi="Times New Roman"/>
          <w:b/>
          <w:bCs/>
          <w:sz w:val="28"/>
          <w:szCs w:val="28"/>
          <w:lang w:val="uk-UA"/>
        </w:rPr>
        <w:t>П</w:t>
      </w:r>
      <w:r w:rsidR="00661A49" w:rsidRPr="006E6FAD">
        <w:rPr>
          <w:rFonts w:ascii="Times New Roman" w:hAnsi="Times New Roman"/>
          <w:b/>
          <w:bCs/>
          <w:sz w:val="28"/>
          <w:szCs w:val="28"/>
          <w:lang w:val="uk-UA"/>
        </w:rPr>
        <w:t>ро внесення змін до Бюджетного кодексу України у зв’язку із запровадженням спеціального режиму господарської діяльності на території пріоритетного розвитку у Донецькій та Луганській областях</w:t>
      </w:r>
      <w:r w:rsidRPr="006E6FAD">
        <w:rPr>
          <w:rFonts w:ascii="Times New Roman" w:hAnsi="Times New Roman"/>
          <w:b/>
          <w:bCs/>
          <w:sz w:val="28"/>
          <w:szCs w:val="28"/>
          <w:lang w:val="uk-UA"/>
        </w:rPr>
        <w:t>»</w:t>
      </w:r>
    </w:p>
    <w:p w14:paraId="3EA2C0F0" w14:textId="77777777" w:rsidR="001A6C54" w:rsidRPr="006E6FAD" w:rsidRDefault="001A6C54" w:rsidP="002D2C49">
      <w:pPr>
        <w:tabs>
          <w:tab w:val="left" w:pos="7938"/>
        </w:tabs>
        <w:suppressAutoHyphens/>
        <w:autoSpaceDE w:val="0"/>
        <w:autoSpaceDN w:val="0"/>
        <w:adjustRightInd w:val="0"/>
        <w:ind w:left="142"/>
        <w:jc w:val="center"/>
        <w:rPr>
          <w:rFonts w:ascii="Times New Roman" w:hAnsi="Times New Roman"/>
          <w:sz w:val="28"/>
          <w:szCs w:val="28"/>
          <w:lang w:val="uk-UA"/>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7117"/>
      </w:tblGrid>
      <w:tr w:rsidR="00B97C17" w:rsidRPr="006E6FAD" w14:paraId="61059DF5" w14:textId="77777777" w:rsidTr="0021077E">
        <w:tc>
          <w:tcPr>
            <w:tcW w:w="7484" w:type="dxa"/>
          </w:tcPr>
          <w:p w14:paraId="763C342A" w14:textId="77777777" w:rsidR="00B97C17" w:rsidRPr="006E6FAD" w:rsidRDefault="00B97C17" w:rsidP="00125737">
            <w:pPr>
              <w:tabs>
                <w:tab w:val="left" w:pos="7938"/>
              </w:tabs>
              <w:spacing w:before="120" w:after="120"/>
              <w:ind w:left="142"/>
              <w:jc w:val="center"/>
              <w:rPr>
                <w:rFonts w:ascii="Times New Roman" w:hAnsi="Times New Roman"/>
                <w:sz w:val="28"/>
                <w:szCs w:val="28"/>
                <w:lang w:val="uk-UA"/>
              </w:rPr>
            </w:pPr>
            <w:r w:rsidRPr="006E6FAD">
              <w:rPr>
                <w:rFonts w:ascii="Times New Roman" w:hAnsi="Times New Roman"/>
                <w:b/>
                <w:bCs/>
                <w:sz w:val="28"/>
                <w:szCs w:val="28"/>
                <w:lang w:val="uk-UA"/>
              </w:rPr>
              <w:t>Зміст положення (норми) чинного законодавства</w:t>
            </w:r>
          </w:p>
        </w:tc>
        <w:tc>
          <w:tcPr>
            <w:tcW w:w="7117" w:type="dxa"/>
          </w:tcPr>
          <w:p w14:paraId="7EAA2976" w14:textId="77777777" w:rsidR="00B97C17" w:rsidRPr="006E6FAD" w:rsidRDefault="00B97C17" w:rsidP="00125737">
            <w:pPr>
              <w:tabs>
                <w:tab w:val="left" w:pos="7938"/>
              </w:tabs>
              <w:spacing w:before="120" w:after="120"/>
              <w:ind w:left="142" w:firstLine="175"/>
              <w:jc w:val="center"/>
              <w:rPr>
                <w:rFonts w:ascii="Times New Roman" w:hAnsi="Times New Roman"/>
                <w:sz w:val="28"/>
                <w:szCs w:val="28"/>
                <w:lang w:val="uk-UA"/>
              </w:rPr>
            </w:pPr>
            <w:r w:rsidRPr="006E6FAD">
              <w:rPr>
                <w:rFonts w:ascii="Times New Roman" w:hAnsi="Times New Roman"/>
                <w:b/>
                <w:bCs/>
                <w:sz w:val="28"/>
                <w:szCs w:val="28"/>
                <w:lang w:val="uk-UA"/>
              </w:rPr>
              <w:t>Зміст відповідного положення (норми) проекту акта</w:t>
            </w:r>
          </w:p>
        </w:tc>
      </w:tr>
      <w:tr w:rsidR="00B97C17" w:rsidRPr="006E6FAD" w14:paraId="51469272" w14:textId="77777777" w:rsidTr="0021077E">
        <w:trPr>
          <w:trHeight w:val="277"/>
        </w:trPr>
        <w:tc>
          <w:tcPr>
            <w:tcW w:w="14601" w:type="dxa"/>
            <w:gridSpan w:val="2"/>
          </w:tcPr>
          <w:p w14:paraId="2F89B737" w14:textId="48C27EC7" w:rsidR="00B97C17" w:rsidRPr="006E6FAD" w:rsidRDefault="00661A49" w:rsidP="00125737">
            <w:pPr>
              <w:tabs>
                <w:tab w:val="left" w:pos="7938"/>
              </w:tabs>
              <w:spacing w:before="120" w:after="120"/>
              <w:jc w:val="center"/>
              <w:rPr>
                <w:rFonts w:ascii="Times New Roman" w:hAnsi="Times New Roman"/>
                <w:b/>
                <w:sz w:val="28"/>
                <w:szCs w:val="28"/>
                <w:lang w:val="uk-UA"/>
              </w:rPr>
            </w:pPr>
            <w:r w:rsidRPr="006E6FAD">
              <w:rPr>
                <w:rFonts w:ascii="Times New Roman" w:hAnsi="Times New Roman"/>
                <w:b/>
                <w:sz w:val="28"/>
                <w:szCs w:val="28"/>
                <w:lang w:val="uk-UA"/>
              </w:rPr>
              <w:t>Бюджетний</w:t>
            </w:r>
            <w:r w:rsidR="005B109C" w:rsidRPr="006E6FAD">
              <w:rPr>
                <w:rFonts w:ascii="Times New Roman" w:hAnsi="Times New Roman"/>
                <w:b/>
                <w:sz w:val="28"/>
                <w:szCs w:val="28"/>
                <w:lang w:val="uk-UA"/>
              </w:rPr>
              <w:t xml:space="preserve"> </w:t>
            </w:r>
            <w:r w:rsidR="003F55D6" w:rsidRPr="006E6FAD">
              <w:rPr>
                <w:rFonts w:ascii="Times New Roman" w:hAnsi="Times New Roman"/>
                <w:b/>
                <w:sz w:val="28"/>
                <w:szCs w:val="28"/>
                <w:lang w:val="uk-UA"/>
              </w:rPr>
              <w:t>кодекс України</w:t>
            </w:r>
          </w:p>
        </w:tc>
      </w:tr>
      <w:tr w:rsidR="00B97C17" w:rsidRPr="006E6FAD" w14:paraId="36A21BF1" w14:textId="77777777" w:rsidTr="0021077E">
        <w:trPr>
          <w:trHeight w:val="1486"/>
        </w:trPr>
        <w:tc>
          <w:tcPr>
            <w:tcW w:w="7484" w:type="dxa"/>
          </w:tcPr>
          <w:p w14:paraId="75CA5804"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bookmarkStart w:id="1" w:name="n1442"/>
            <w:bookmarkEnd w:id="1"/>
            <w:r w:rsidRPr="006E6FAD">
              <w:rPr>
                <w:rFonts w:ascii="Times New Roman" w:eastAsia="Times New Roman" w:hAnsi="Times New Roman"/>
                <w:color w:val="333333"/>
                <w:sz w:val="28"/>
                <w:szCs w:val="28"/>
                <w:lang w:val="uk-UA"/>
              </w:rPr>
              <w:t>Стаття 2. Визначення основних термінів</w:t>
            </w:r>
          </w:p>
          <w:p w14:paraId="6E9F7EEC"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62936863" w14:textId="77777777" w:rsidR="005B109C" w:rsidRPr="006E6FAD" w:rsidRDefault="00661A49" w:rsidP="00661A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1. У цьому Кодексі наведені нижче терміни вживаються в такому значенні:</w:t>
            </w:r>
          </w:p>
          <w:p w14:paraId="2ADB63B5"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5FDA9B19" w14:textId="0C7C9B85" w:rsidR="00661A49" w:rsidRPr="006E6FAD" w:rsidRDefault="00661A49" w:rsidP="00661A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36695169"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400803B8" w14:textId="37B6CAC2" w:rsidR="00661A49" w:rsidRPr="006E6FAD" w:rsidRDefault="00661A49" w:rsidP="00661A49">
            <w:pPr>
              <w:spacing w:after="0" w:line="240" w:lineRule="auto"/>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Положення відсутнє</w:t>
            </w:r>
          </w:p>
          <w:p w14:paraId="65FB06C5" w14:textId="2169633F"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63113330" w14:textId="25E5A755"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76513B1F" w14:textId="25560CE6"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7139981D" w14:textId="498D7217"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525EC960" w14:textId="19604CBB"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1E6C6825" w14:textId="3FE40E7C"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2B0C89FC" w14:textId="2B768862" w:rsidR="00661A49" w:rsidRPr="006E6FAD" w:rsidRDefault="00661A49" w:rsidP="00661A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2240CAE3" w14:textId="0E838110"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tc>
        <w:tc>
          <w:tcPr>
            <w:tcW w:w="7117" w:type="dxa"/>
          </w:tcPr>
          <w:p w14:paraId="090CFED3"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Стаття 2. Визначення основних термінів</w:t>
            </w:r>
          </w:p>
          <w:p w14:paraId="52989043"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41E3293D"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1. У цьому Кодексі наведені нижче терміни вживаються в такому значенні:</w:t>
            </w:r>
          </w:p>
          <w:p w14:paraId="42B1ED44"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3EE816F4"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68C572E4"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11F6E341" w14:textId="0CBBEAA7" w:rsidR="005B109C" w:rsidRPr="006E6FAD" w:rsidRDefault="00661A49" w:rsidP="00A94CD3">
            <w:pPr>
              <w:spacing w:after="0" w:line="240" w:lineRule="auto"/>
              <w:ind w:firstLine="484"/>
              <w:jc w:val="both"/>
              <w:rPr>
                <w:rFonts w:ascii="Times New Roman" w:eastAsia="Times New Roman" w:hAnsi="Times New Roman"/>
                <w:b/>
                <w:bCs/>
                <w:color w:val="333333"/>
                <w:sz w:val="28"/>
                <w:szCs w:val="28"/>
                <w:lang w:val="uk-UA"/>
              </w:rPr>
            </w:pPr>
            <w:r w:rsidRPr="006E6FAD">
              <w:rPr>
                <w:rStyle w:val="rvts9"/>
                <w:rFonts w:ascii="Times New Roman" w:hAnsi="Times New Roman"/>
                <w:b/>
                <w:bCs/>
                <w:color w:val="333333"/>
                <w:sz w:val="28"/>
                <w:szCs w:val="28"/>
                <w:lang w:val="uk-UA"/>
              </w:rPr>
              <w:t>43</w:t>
            </w:r>
            <w:r w:rsidRPr="006E6FAD">
              <w:rPr>
                <w:rStyle w:val="rvts9"/>
                <w:rFonts w:ascii="Times New Roman" w:hAnsi="Times New Roman"/>
                <w:b/>
                <w:bCs/>
                <w:color w:val="333333"/>
                <w:sz w:val="28"/>
                <w:szCs w:val="28"/>
                <w:vertAlign w:val="superscript"/>
                <w:lang w:val="uk-UA"/>
              </w:rPr>
              <w:t>-1</w:t>
            </w:r>
            <w:r w:rsidRPr="006E6FAD">
              <w:rPr>
                <w:rStyle w:val="rvts9"/>
                <w:rFonts w:ascii="Times New Roman" w:hAnsi="Times New Roman"/>
                <w:b/>
                <w:bCs/>
                <w:color w:val="333333"/>
                <w:sz w:val="28"/>
                <w:szCs w:val="28"/>
                <w:lang w:val="uk-UA"/>
              </w:rPr>
              <w:t xml:space="preserve">) </w:t>
            </w:r>
            <w:r w:rsidR="00F72F51" w:rsidRPr="006E6FAD">
              <w:rPr>
                <w:rFonts w:ascii="Times New Roman" w:eastAsia="Times New Roman" w:hAnsi="Times New Roman"/>
                <w:b/>
                <w:bCs/>
                <w:sz w:val="28"/>
                <w:szCs w:val="28"/>
                <w:lang w:val="uk-UA"/>
              </w:rPr>
              <w:t>проект громадського бюджету (бюджету участі) – пропозиція або ініціатива, що відповідно до положення про громадський бюджет (бюджет участі) територіальної громади, затвердженого відповідним органом місцевого самоврядування, була обрана для реалізації за рахунок коштів бюджету такої територіальної громади</w:t>
            </w:r>
            <w:r w:rsidRPr="006E6FAD">
              <w:rPr>
                <w:rFonts w:ascii="Times New Roman" w:eastAsia="Times New Roman" w:hAnsi="Times New Roman"/>
                <w:b/>
                <w:bCs/>
                <w:color w:val="333333"/>
                <w:sz w:val="28"/>
                <w:szCs w:val="28"/>
                <w:lang w:val="uk-UA"/>
              </w:rPr>
              <w:t>;</w:t>
            </w:r>
          </w:p>
          <w:p w14:paraId="178E2817" w14:textId="43A4C881"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3FFBB6D7" w14:textId="27B87181"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tc>
      </w:tr>
      <w:tr w:rsidR="005B109C" w:rsidRPr="006E6FAD" w14:paraId="075186CA" w14:textId="77777777" w:rsidTr="0021077E">
        <w:trPr>
          <w:trHeight w:val="1486"/>
        </w:trPr>
        <w:tc>
          <w:tcPr>
            <w:tcW w:w="7484" w:type="dxa"/>
          </w:tcPr>
          <w:p w14:paraId="645FF53B"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lastRenderedPageBreak/>
              <w:t>Стаття 97. Трансферти, що надаються з Державного бюджету України місцевим бюджетам</w:t>
            </w:r>
          </w:p>
          <w:p w14:paraId="504FD364"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p>
          <w:p w14:paraId="216D7FF1" w14:textId="77777777" w:rsidR="00661A49" w:rsidRPr="006E6FAD" w:rsidRDefault="00661A49" w:rsidP="00661A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1. У Державному бюджеті України можуть передбачатися такі трансферти місцевим бюджетам:</w:t>
            </w:r>
          </w:p>
          <w:p w14:paraId="1476E098" w14:textId="77777777" w:rsidR="005B109C" w:rsidRPr="006E6FAD" w:rsidRDefault="005B109C" w:rsidP="002D2C49">
            <w:pPr>
              <w:spacing w:after="0" w:line="240" w:lineRule="auto"/>
              <w:jc w:val="both"/>
              <w:rPr>
                <w:rFonts w:ascii="Times New Roman" w:eastAsia="Times New Roman" w:hAnsi="Times New Roman"/>
                <w:color w:val="333333"/>
                <w:sz w:val="28"/>
                <w:szCs w:val="28"/>
                <w:lang w:val="uk-UA"/>
              </w:rPr>
            </w:pPr>
          </w:p>
          <w:p w14:paraId="6F14A670"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2BBAD119"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7E7E2F57" w14:textId="77777777" w:rsidR="00661A49" w:rsidRPr="006E6FAD" w:rsidRDefault="00661A49" w:rsidP="002D2C49">
            <w:pPr>
              <w:spacing w:after="0" w:line="240" w:lineRule="auto"/>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Положення відсутні</w:t>
            </w:r>
          </w:p>
          <w:p w14:paraId="6787243A"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0FB6AC37"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14C674BB"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6570C431"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15FBB3DA"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5BBDADBD"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3A84C2B0" w14:textId="77777777"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p w14:paraId="7E176DCE" w14:textId="7E42137B" w:rsidR="00661A49" w:rsidRPr="006E6FAD" w:rsidRDefault="00661A49" w:rsidP="002D2C49">
            <w:pPr>
              <w:spacing w:after="0" w:line="240" w:lineRule="auto"/>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4602640F" w14:textId="122DB222" w:rsidR="00661A49" w:rsidRPr="006E6FAD" w:rsidRDefault="00661A49" w:rsidP="002D2C49">
            <w:pPr>
              <w:spacing w:after="0" w:line="240" w:lineRule="auto"/>
              <w:jc w:val="both"/>
              <w:rPr>
                <w:rFonts w:ascii="Times New Roman" w:eastAsia="Times New Roman" w:hAnsi="Times New Roman"/>
                <w:color w:val="333333"/>
                <w:sz w:val="28"/>
                <w:szCs w:val="28"/>
                <w:lang w:val="uk-UA"/>
              </w:rPr>
            </w:pPr>
          </w:p>
        </w:tc>
        <w:tc>
          <w:tcPr>
            <w:tcW w:w="7117" w:type="dxa"/>
          </w:tcPr>
          <w:p w14:paraId="0A992BDC"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Стаття 97. Трансферти, що надаються з Державного бюджету України місцевим бюджетам</w:t>
            </w:r>
          </w:p>
          <w:p w14:paraId="31345F61"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413BD884"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1. У Державному бюджеті України можуть передбачатися такі трансферти місцевим бюджетам:</w:t>
            </w:r>
          </w:p>
          <w:p w14:paraId="2FEE1659"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5BDC185E"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259FA54B"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p w14:paraId="2854E452" w14:textId="404A3CEF" w:rsidR="00661A49" w:rsidRPr="006E6FAD" w:rsidRDefault="00661A49"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11</w:t>
            </w:r>
            <w:r w:rsidRPr="006E6FAD">
              <w:rPr>
                <w:rFonts w:ascii="Times New Roman" w:eastAsia="Times New Roman" w:hAnsi="Times New Roman"/>
                <w:b/>
                <w:bCs/>
                <w:color w:val="333333"/>
                <w:sz w:val="28"/>
                <w:szCs w:val="28"/>
                <w:vertAlign w:val="superscript"/>
                <w:lang w:val="uk-UA"/>
              </w:rPr>
              <w:t>-2</w:t>
            </w:r>
            <w:r w:rsidRPr="006E6FAD">
              <w:rPr>
                <w:rFonts w:ascii="Times New Roman" w:eastAsia="Times New Roman" w:hAnsi="Times New Roman"/>
                <w:b/>
                <w:bCs/>
                <w:color w:val="333333"/>
                <w:sz w:val="28"/>
                <w:szCs w:val="28"/>
                <w:lang w:val="uk-UA"/>
              </w:rPr>
              <w:t xml:space="preserve">) </w:t>
            </w:r>
            <w:r w:rsidR="00F72F51" w:rsidRPr="006E6FAD">
              <w:rPr>
                <w:rFonts w:ascii="Times New Roman" w:eastAsia="Times New Roman" w:hAnsi="Times New Roman"/>
                <w:b/>
                <w:bCs/>
                <w:color w:val="333333"/>
                <w:sz w:val="28"/>
                <w:szCs w:val="28"/>
                <w:lang w:val="uk-UA"/>
              </w:rPr>
              <w:t>додаткова дотація на здійснення видатків, пов’язаних із запровадженням спеціального режиму господарської діяльності на території пріоритетного розвитку</w:t>
            </w:r>
            <w:r w:rsidRPr="006E6FAD">
              <w:rPr>
                <w:rFonts w:ascii="Times New Roman" w:eastAsia="Times New Roman" w:hAnsi="Times New Roman"/>
                <w:b/>
                <w:bCs/>
                <w:color w:val="333333"/>
                <w:sz w:val="28"/>
                <w:szCs w:val="28"/>
                <w:lang w:val="uk-UA"/>
              </w:rPr>
              <w:t>;</w:t>
            </w:r>
          </w:p>
          <w:p w14:paraId="17314B14" w14:textId="46A56158" w:rsidR="00806792" w:rsidRPr="006E6FAD" w:rsidRDefault="00806792"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11</w:t>
            </w:r>
            <w:r w:rsidRPr="006E6FAD">
              <w:rPr>
                <w:rFonts w:ascii="Times New Roman" w:eastAsia="Times New Roman" w:hAnsi="Times New Roman"/>
                <w:b/>
                <w:bCs/>
                <w:color w:val="333333"/>
                <w:sz w:val="28"/>
                <w:szCs w:val="28"/>
                <w:vertAlign w:val="superscript"/>
                <w:lang w:val="uk-UA"/>
              </w:rPr>
              <w:t>-3</w:t>
            </w:r>
            <w:r w:rsidRPr="006E6FAD">
              <w:rPr>
                <w:rFonts w:ascii="Times New Roman" w:eastAsia="Times New Roman" w:hAnsi="Times New Roman"/>
                <w:b/>
                <w:bCs/>
                <w:color w:val="333333"/>
                <w:sz w:val="28"/>
                <w:szCs w:val="28"/>
                <w:lang w:val="uk-UA"/>
              </w:rPr>
              <w:t>) додаткова дотація для надання компенсації</w:t>
            </w:r>
            <w:r w:rsidR="007504F7" w:rsidRPr="006E6FAD">
              <w:rPr>
                <w:rFonts w:ascii="Times New Roman" w:eastAsia="Times New Roman" w:hAnsi="Times New Roman"/>
                <w:b/>
                <w:bCs/>
                <w:color w:val="333333"/>
                <w:sz w:val="28"/>
                <w:szCs w:val="28"/>
                <w:lang w:val="uk-UA"/>
              </w:rPr>
              <w:t xml:space="preserve"> </w:t>
            </w:r>
            <w:r w:rsidR="007504F7" w:rsidRPr="006E6FAD">
              <w:rPr>
                <w:rFonts w:ascii="Times New Roman" w:eastAsia="Calibri" w:hAnsi="Times New Roman"/>
                <w:b/>
                <w:sz w:val="28"/>
                <w:szCs w:val="28"/>
                <w:lang w:val="uk-UA" w:eastAsia="en-US"/>
              </w:rPr>
              <w:t>вартості електричної енергії у розмірі перевищення тарифу на послуги з розподілу електричної енергії на території пріоритетного розвитку над середнім по Україні розміром такого тарифу</w:t>
            </w:r>
            <w:r w:rsidRPr="006E6FAD">
              <w:rPr>
                <w:rFonts w:ascii="Times New Roman" w:eastAsia="Times New Roman" w:hAnsi="Times New Roman"/>
                <w:b/>
                <w:bCs/>
                <w:color w:val="333333"/>
                <w:sz w:val="28"/>
                <w:szCs w:val="28"/>
                <w:lang w:val="uk-UA"/>
              </w:rPr>
              <w:t>;</w:t>
            </w:r>
          </w:p>
          <w:p w14:paraId="5BC7D5D6" w14:textId="36557E8A" w:rsidR="00661A49" w:rsidRPr="006E6FAD" w:rsidRDefault="00661A49"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11</w:t>
            </w:r>
            <w:r w:rsidRPr="006E6FAD">
              <w:rPr>
                <w:rFonts w:ascii="Times New Roman" w:eastAsia="Times New Roman" w:hAnsi="Times New Roman"/>
                <w:b/>
                <w:bCs/>
                <w:color w:val="333333"/>
                <w:sz w:val="28"/>
                <w:szCs w:val="28"/>
                <w:vertAlign w:val="superscript"/>
                <w:lang w:val="uk-UA"/>
              </w:rPr>
              <w:t>-</w:t>
            </w:r>
            <w:r w:rsidR="00806792" w:rsidRPr="006E6FAD">
              <w:rPr>
                <w:rFonts w:ascii="Times New Roman" w:eastAsia="Times New Roman" w:hAnsi="Times New Roman"/>
                <w:b/>
                <w:bCs/>
                <w:color w:val="333333"/>
                <w:sz w:val="28"/>
                <w:szCs w:val="28"/>
                <w:vertAlign w:val="superscript"/>
                <w:lang w:val="uk-UA"/>
              </w:rPr>
              <w:t>4</w:t>
            </w:r>
            <w:r w:rsidRPr="006E6FAD">
              <w:rPr>
                <w:rFonts w:ascii="Times New Roman" w:eastAsia="Times New Roman" w:hAnsi="Times New Roman"/>
                <w:b/>
                <w:bCs/>
                <w:color w:val="333333"/>
                <w:sz w:val="28"/>
                <w:szCs w:val="28"/>
                <w:lang w:val="uk-UA"/>
              </w:rPr>
              <w:t xml:space="preserve">) </w:t>
            </w:r>
            <w:r w:rsidR="00F72F51" w:rsidRPr="006E6FAD">
              <w:rPr>
                <w:rFonts w:ascii="Times New Roman" w:eastAsia="Times New Roman" w:hAnsi="Times New Roman"/>
                <w:b/>
                <w:bCs/>
                <w:color w:val="333333"/>
                <w:sz w:val="28"/>
                <w:szCs w:val="28"/>
                <w:lang w:val="uk-UA"/>
              </w:rPr>
              <w:t>субвенція на реалізацію проектів громадського бюджету (бюджету участі) на території пріоритетного розвитку</w:t>
            </w:r>
            <w:r w:rsidRPr="006E6FAD">
              <w:rPr>
                <w:rFonts w:ascii="Times New Roman" w:eastAsia="Times New Roman" w:hAnsi="Times New Roman"/>
                <w:b/>
                <w:bCs/>
                <w:color w:val="333333"/>
                <w:sz w:val="28"/>
                <w:szCs w:val="28"/>
                <w:lang w:val="uk-UA"/>
              </w:rPr>
              <w:t>;</w:t>
            </w:r>
          </w:p>
          <w:p w14:paraId="1A5B6D17" w14:textId="77777777" w:rsidR="005B109C" w:rsidRPr="006E6FAD" w:rsidRDefault="005B109C" w:rsidP="00A94CD3">
            <w:pPr>
              <w:spacing w:after="0" w:line="240" w:lineRule="auto"/>
              <w:ind w:firstLine="484"/>
              <w:jc w:val="both"/>
              <w:rPr>
                <w:rFonts w:ascii="Times New Roman" w:eastAsia="Times New Roman" w:hAnsi="Times New Roman"/>
                <w:color w:val="333333"/>
                <w:sz w:val="28"/>
                <w:szCs w:val="28"/>
                <w:lang w:val="uk-UA"/>
              </w:rPr>
            </w:pPr>
          </w:p>
          <w:p w14:paraId="0122952C" w14:textId="77777777"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r w:rsidRPr="006E6FAD">
              <w:rPr>
                <w:rFonts w:ascii="Times New Roman" w:eastAsia="Times New Roman" w:hAnsi="Times New Roman"/>
                <w:color w:val="333333"/>
                <w:sz w:val="28"/>
                <w:szCs w:val="28"/>
                <w:lang w:val="uk-UA"/>
              </w:rPr>
              <w:t>…</w:t>
            </w:r>
          </w:p>
          <w:p w14:paraId="64C57CCC" w14:textId="7ED65FB5" w:rsidR="00661A49" w:rsidRPr="006E6FAD" w:rsidRDefault="00661A49" w:rsidP="00A94CD3">
            <w:pPr>
              <w:spacing w:after="0" w:line="240" w:lineRule="auto"/>
              <w:ind w:firstLine="484"/>
              <w:jc w:val="both"/>
              <w:rPr>
                <w:rFonts w:ascii="Times New Roman" w:eastAsia="Times New Roman" w:hAnsi="Times New Roman"/>
                <w:color w:val="333333"/>
                <w:sz w:val="28"/>
                <w:szCs w:val="28"/>
                <w:lang w:val="uk-UA"/>
              </w:rPr>
            </w:pPr>
          </w:p>
        </w:tc>
      </w:tr>
      <w:tr w:rsidR="005B109C" w:rsidRPr="006E6FAD" w14:paraId="31203485" w14:textId="77777777" w:rsidTr="0021077E">
        <w:trPr>
          <w:trHeight w:val="1486"/>
        </w:trPr>
        <w:tc>
          <w:tcPr>
            <w:tcW w:w="7484" w:type="dxa"/>
          </w:tcPr>
          <w:p w14:paraId="6EC9737E" w14:textId="2CB3028E" w:rsidR="00301E68" w:rsidRPr="006E6FAD" w:rsidRDefault="00661A49" w:rsidP="005B109C">
            <w:pPr>
              <w:spacing w:after="0" w:line="240" w:lineRule="auto"/>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Положення відсутнє</w:t>
            </w:r>
          </w:p>
        </w:tc>
        <w:tc>
          <w:tcPr>
            <w:tcW w:w="7117" w:type="dxa"/>
          </w:tcPr>
          <w:p w14:paraId="1C46F095" w14:textId="21B6635C"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Стаття 103</w:t>
            </w:r>
            <w:r w:rsidRPr="002E26C6">
              <w:rPr>
                <w:rFonts w:ascii="Times New Roman" w:eastAsia="Times New Roman" w:hAnsi="Times New Roman"/>
                <w:b/>
                <w:bCs/>
                <w:color w:val="333333"/>
                <w:sz w:val="28"/>
                <w:szCs w:val="28"/>
                <w:vertAlign w:val="superscript"/>
                <w:lang w:val="uk-UA"/>
              </w:rPr>
              <w:t>-</w:t>
            </w:r>
            <w:r w:rsidRPr="006E6FAD">
              <w:rPr>
                <w:rFonts w:ascii="Times New Roman" w:eastAsia="Times New Roman" w:hAnsi="Times New Roman"/>
                <w:b/>
                <w:bCs/>
                <w:color w:val="333333"/>
                <w:sz w:val="28"/>
                <w:szCs w:val="28"/>
                <w:vertAlign w:val="superscript"/>
                <w:lang w:val="uk-UA"/>
              </w:rPr>
              <w:t>7</w:t>
            </w:r>
            <w:r w:rsidRPr="006E6FAD">
              <w:rPr>
                <w:rFonts w:ascii="Times New Roman" w:eastAsia="Times New Roman" w:hAnsi="Times New Roman"/>
                <w:b/>
                <w:bCs/>
                <w:color w:val="333333"/>
                <w:sz w:val="28"/>
                <w:szCs w:val="28"/>
                <w:lang w:val="uk-UA"/>
              </w:rPr>
              <w:t>. Додаткова дотація на здійснення видатків, пов’язаних із запровадженням спеціального режиму господарської діяльності на території пріоритетного розвитку</w:t>
            </w:r>
          </w:p>
          <w:p w14:paraId="688849E3" w14:textId="6E4D462C"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lastRenderedPageBreak/>
              <w:t xml:space="preserve">1. Запровадження спеціального режиму господарської діяльності на території пріоритетного розвитку </w:t>
            </w:r>
            <w:r w:rsidR="00A75BC9" w:rsidRPr="00A75BC9">
              <w:rPr>
                <w:rFonts w:ascii="Times New Roman" w:eastAsia="Times New Roman" w:hAnsi="Times New Roman"/>
                <w:b/>
                <w:bCs/>
                <w:color w:val="333333"/>
                <w:sz w:val="28"/>
                <w:szCs w:val="28"/>
                <w:lang w:val="uk-UA"/>
              </w:rPr>
              <w:t xml:space="preserve">у Донецькій та Луганській областях </w:t>
            </w:r>
            <w:r w:rsidRPr="006E6FAD">
              <w:rPr>
                <w:rFonts w:ascii="Times New Roman" w:eastAsia="Times New Roman" w:hAnsi="Times New Roman"/>
                <w:b/>
                <w:bCs/>
                <w:color w:val="333333"/>
                <w:sz w:val="28"/>
                <w:szCs w:val="28"/>
                <w:lang w:val="uk-UA"/>
              </w:rPr>
              <w:t>має супроводжуватися наданням додаткової дотації з державного бюджету місцевим бюджетам на щорічній основі протягом строку спеціального режиму господарської діяльності на території пріоритетного розвитку.</w:t>
            </w:r>
          </w:p>
          <w:p w14:paraId="4F87676D" w14:textId="27764A8E"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 xml:space="preserve">2. Додаткова дотація на здійснення видатків, пов’язаних із запровадженням спеціального режиму господарської діяльності на території пріоритетного розвитку, встановлюється на кожний наступний бюджетний період у розмірі податку на доходи фізичних осіб, визначеного пунктом 1 частини другої статті 29 цього Кодексу, що були сплачені (перераховані) згідно з Податковим кодексом України на території окремих територіальних громад, зазначених у пункті 2 частини першої статті 8 Закону України "Про запровадження спеціального режиму господарської діяльності на території пріоритетного розвитку у Донецькій та Луганській областях", протягом попереднього бюджетного періоду, та скоригованої на індекс зростання заробітної плати. </w:t>
            </w:r>
          </w:p>
          <w:p w14:paraId="189791E6" w14:textId="090316CA"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 xml:space="preserve">Індекс зростання заробітної плати є коефіцієнтом, що визначає рівень збільшення розміру мінімальної заробітної плати, встановленого для розрахунку бюджету на наступний бюджетний період порівняно з </w:t>
            </w:r>
            <w:r w:rsidRPr="006E6FAD">
              <w:rPr>
                <w:rFonts w:ascii="Times New Roman" w:eastAsia="Times New Roman" w:hAnsi="Times New Roman"/>
                <w:b/>
                <w:bCs/>
                <w:color w:val="333333"/>
                <w:sz w:val="28"/>
                <w:szCs w:val="28"/>
                <w:lang w:val="uk-UA"/>
              </w:rPr>
              <w:lastRenderedPageBreak/>
              <w:t>розміром мінімальної заробітної плати попереднього бюджетного періоду.</w:t>
            </w:r>
          </w:p>
          <w:p w14:paraId="09C4DB1B" w14:textId="1EDF99C7"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3. Додаткова дотація на здійснення видатків, пов’язаних із запровадженням спеціального режиму господарської діяльності на території пріоритетного розвитку, розподіляється таким чином:</w:t>
            </w:r>
          </w:p>
          <w:p w14:paraId="60165746" w14:textId="45542168"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80 відсотків загального обсягу дотації розподіляється між відповідними місцевими бюджетами територіальних громад, зазначених у пункті 2 частини першої статті 8 Закону України "Про запровадження спеціального режиму господарської діяльності на території пріоритетного розвитку у Донецькій та Луганській областях", пропорційно до надходжень податку на доходи фізичних осіб, визначеного пунктом 1 частини другої статті 29 цього Кодексу, на території відповідної територіальної громади протягом попереднього бюджетного періоду;</w:t>
            </w:r>
          </w:p>
          <w:p w14:paraId="541F08AC" w14:textId="56CE3EE7" w:rsidR="00277B64"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20 відсотків загального обсягу дотації розподіляється між відповідними обласними бюджетами пропорційно до надходжень податку на доходи фізичних осіб, визначеного пунктом 1 частини другої статті 29 цього Кодексу, на території територіальних громад відповідної області, зазначених у пункті 2 частини першої статті 8 Закону України "Про запровадження спеціального режиму господарської діяльності на території пріоритетного розвитку у Донецькій та Луганській областях", протягом попереднього бюджетного періоду.</w:t>
            </w:r>
          </w:p>
          <w:p w14:paraId="6D0D134E" w14:textId="77777777" w:rsidR="00661A49" w:rsidRPr="006E6FAD" w:rsidRDefault="00277B64"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lastRenderedPageBreak/>
              <w:t>4. Сума додаткової дотації на здійснення видатків, пов’язаних із запровадженням спеціального режиму господарської діяльності на території пріоритетного розвитку, не враховуються при здійсненні горизонтального вирівнювання податкоспроможності відповідного місцевого бюджету (згідно зі статтею 98 або 99 цього Кодексу), якщо її врахування призводить до передачі реверсної дотації з цього бюджету.</w:t>
            </w:r>
          </w:p>
          <w:p w14:paraId="41609425" w14:textId="357BE500" w:rsidR="00277B64" w:rsidRPr="006E6FAD" w:rsidRDefault="00277B64" w:rsidP="00A94CD3">
            <w:pPr>
              <w:spacing w:after="0" w:line="240" w:lineRule="auto"/>
              <w:ind w:firstLine="484"/>
              <w:jc w:val="both"/>
              <w:rPr>
                <w:rFonts w:ascii="Times New Roman" w:eastAsia="Times New Roman" w:hAnsi="Times New Roman"/>
                <w:color w:val="333333"/>
                <w:sz w:val="28"/>
                <w:szCs w:val="28"/>
                <w:lang w:val="uk-UA"/>
              </w:rPr>
            </w:pPr>
          </w:p>
        </w:tc>
      </w:tr>
      <w:tr w:rsidR="007504F7" w:rsidRPr="00A90BFF" w14:paraId="73872423" w14:textId="77777777" w:rsidTr="0021077E">
        <w:trPr>
          <w:trHeight w:val="1486"/>
        </w:trPr>
        <w:tc>
          <w:tcPr>
            <w:tcW w:w="7484" w:type="dxa"/>
          </w:tcPr>
          <w:p w14:paraId="08C4C5B2" w14:textId="1C9A0D68" w:rsidR="007504F7" w:rsidRPr="006E6FAD" w:rsidRDefault="007504F7" w:rsidP="005B109C">
            <w:pPr>
              <w:spacing w:after="0" w:line="240" w:lineRule="auto"/>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lastRenderedPageBreak/>
              <w:t>Положення відсутнє</w:t>
            </w:r>
          </w:p>
        </w:tc>
        <w:tc>
          <w:tcPr>
            <w:tcW w:w="7117" w:type="dxa"/>
          </w:tcPr>
          <w:p w14:paraId="558684DB" w14:textId="4C76CA98" w:rsidR="007504F7" w:rsidRPr="006E6FAD" w:rsidRDefault="007504F7" w:rsidP="00A94CD3">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Стаття 103</w:t>
            </w:r>
            <w:r w:rsidRPr="002E26C6">
              <w:rPr>
                <w:rFonts w:ascii="Times New Roman" w:eastAsia="Times New Roman" w:hAnsi="Times New Roman"/>
                <w:b/>
                <w:bCs/>
                <w:color w:val="333333"/>
                <w:sz w:val="28"/>
                <w:szCs w:val="28"/>
                <w:vertAlign w:val="superscript"/>
                <w:lang w:val="uk-UA"/>
              </w:rPr>
              <w:t>-8</w:t>
            </w:r>
            <w:r w:rsidRPr="006E6FAD">
              <w:rPr>
                <w:rFonts w:ascii="Times New Roman" w:eastAsia="Times New Roman" w:hAnsi="Times New Roman"/>
                <w:b/>
                <w:bCs/>
                <w:color w:val="333333"/>
                <w:sz w:val="28"/>
                <w:szCs w:val="28"/>
                <w:lang w:val="uk-UA"/>
              </w:rPr>
              <w:t>. Додаткова дотація для надання компенсації вартості електричної енергії у розмірі перевищення тарифу на послуги з розподілу електричної енергії на території пріоритетного розвитку над середнім по Україні розміром такого тарифу</w:t>
            </w:r>
          </w:p>
          <w:p w14:paraId="57AA1D94" w14:textId="5769AF3B" w:rsidR="00EF007F" w:rsidRPr="006E6FAD" w:rsidRDefault="00002AB8" w:rsidP="00A94CD3">
            <w:pPr>
              <w:pStyle w:val="af2"/>
              <w:numPr>
                <w:ilvl w:val="0"/>
                <w:numId w:val="1"/>
              </w:numPr>
              <w:spacing w:after="0" w:line="240" w:lineRule="auto"/>
              <w:ind w:left="-83" w:firstLine="484"/>
              <w:jc w:val="both"/>
              <w:rPr>
                <w:rFonts w:ascii="Times New Roman" w:eastAsia="Times New Roman" w:hAnsi="Times New Roman"/>
                <w:b/>
                <w:bCs/>
                <w:color w:val="333333"/>
                <w:sz w:val="28"/>
                <w:szCs w:val="28"/>
                <w:lang w:val="uk-UA"/>
              </w:rPr>
            </w:pPr>
            <w:r>
              <w:rPr>
                <w:rFonts w:ascii="Times New Roman" w:eastAsia="Times New Roman" w:hAnsi="Times New Roman"/>
                <w:b/>
                <w:bCs/>
                <w:color w:val="333333"/>
                <w:sz w:val="28"/>
                <w:szCs w:val="28"/>
                <w:lang w:val="uk-UA"/>
              </w:rPr>
              <w:t xml:space="preserve"> Запровадження</w:t>
            </w:r>
            <w:r w:rsidR="00EF007F" w:rsidRPr="006E6FAD">
              <w:rPr>
                <w:rFonts w:ascii="Times New Roman" w:eastAsia="Times New Roman" w:hAnsi="Times New Roman"/>
                <w:b/>
                <w:bCs/>
                <w:color w:val="333333"/>
                <w:sz w:val="28"/>
                <w:szCs w:val="28"/>
                <w:lang w:val="uk-UA"/>
              </w:rPr>
              <w:t xml:space="preserve"> компенсації, резидентам території пріоритетного розвитку на території Донецької та Луганської областей вартості електричної енергії у розмірі перевищення тарифу на послуги з розподілу електричної енергії на території пріоритетного розвитку над середнім по Україні розміром такого тарифу має супроводжуватися наданням відповідної додаткової дотації.</w:t>
            </w:r>
          </w:p>
          <w:p w14:paraId="48687316" w14:textId="12CED166" w:rsidR="00EF007F" w:rsidRPr="006E6FAD" w:rsidRDefault="00EF007F" w:rsidP="00A94CD3">
            <w:pPr>
              <w:spacing w:after="0" w:line="240" w:lineRule="auto"/>
              <w:ind w:left="-83"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 xml:space="preserve">2. Додаткова дотація </w:t>
            </w:r>
            <w:r w:rsidR="00A94CD3" w:rsidRPr="006E6FAD">
              <w:rPr>
                <w:rFonts w:ascii="Times New Roman" w:eastAsia="Times New Roman" w:hAnsi="Times New Roman"/>
                <w:b/>
                <w:bCs/>
                <w:color w:val="333333"/>
                <w:sz w:val="28"/>
                <w:szCs w:val="28"/>
                <w:lang w:val="uk-UA"/>
              </w:rPr>
              <w:t xml:space="preserve">використовується </w:t>
            </w:r>
            <w:r w:rsidRPr="006E6FAD">
              <w:rPr>
                <w:rFonts w:ascii="Times New Roman" w:eastAsia="Times New Roman" w:hAnsi="Times New Roman"/>
                <w:b/>
                <w:bCs/>
                <w:color w:val="333333"/>
                <w:sz w:val="28"/>
                <w:szCs w:val="28"/>
                <w:lang w:val="uk-UA"/>
              </w:rPr>
              <w:t xml:space="preserve">для надання </w:t>
            </w:r>
            <w:r w:rsidR="00A94CD3" w:rsidRPr="006E6FAD">
              <w:rPr>
                <w:rFonts w:ascii="Times New Roman" w:eastAsia="Times New Roman" w:hAnsi="Times New Roman"/>
                <w:b/>
                <w:bCs/>
                <w:color w:val="333333"/>
                <w:sz w:val="28"/>
                <w:szCs w:val="28"/>
                <w:lang w:val="uk-UA"/>
              </w:rPr>
              <w:t>резидентам території пріоритетного розвитку, які,</w:t>
            </w:r>
            <w:r w:rsidR="00A94CD3" w:rsidRPr="006E6FAD">
              <w:rPr>
                <w:rFonts w:ascii="Times New Roman" w:eastAsia="Times New Roman" w:hAnsi="Times New Roman"/>
                <w:b/>
                <w:sz w:val="28"/>
                <w:szCs w:val="28"/>
                <w:lang w:val="uk-UA" w:eastAsia="en-US"/>
              </w:rPr>
              <w:t xml:space="preserve"> відповідно до статті 2 Закону України "Про бухгалтерський облік та фінансову звітність в Україні", належать до мікропідприємств, малих або </w:t>
            </w:r>
            <w:r w:rsidR="00A94CD3" w:rsidRPr="006E6FAD">
              <w:rPr>
                <w:rFonts w:ascii="Times New Roman" w:eastAsia="Times New Roman" w:hAnsi="Times New Roman"/>
                <w:b/>
                <w:sz w:val="28"/>
                <w:szCs w:val="28"/>
                <w:lang w:val="uk-UA" w:eastAsia="en-US"/>
              </w:rPr>
              <w:lastRenderedPageBreak/>
              <w:t xml:space="preserve">середніх підприємств, </w:t>
            </w:r>
            <w:r w:rsidRPr="006E6FAD">
              <w:rPr>
                <w:rFonts w:ascii="Times New Roman" w:eastAsia="Times New Roman" w:hAnsi="Times New Roman"/>
                <w:b/>
                <w:bCs/>
                <w:color w:val="333333"/>
                <w:sz w:val="28"/>
                <w:szCs w:val="28"/>
                <w:lang w:val="uk-UA"/>
              </w:rPr>
              <w:t>компенсації вартості електричної енергії у розмірі перевищення тарифу на послуги з розподілу електричної енергії на території пріоритетного розвитку над середнім по Україні розміром такого тарифу.</w:t>
            </w:r>
          </w:p>
          <w:p w14:paraId="7FE0F0E9" w14:textId="29394DC7" w:rsidR="00A950F9" w:rsidRPr="006E6FAD" w:rsidRDefault="00EF007F" w:rsidP="00A90BFF">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 xml:space="preserve">3. </w:t>
            </w:r>
            <w:r w:rsidR="00A950F9" w:rsidRPr="006E6FAD">
              <w:rPr>
                <w:rFonts w:ascii="Times New Roman" w:eastAsia="Times New Roman" w:hAnsi="Times New Roman"/>
                <w:b/>
                <w:bCs/>
                <w:color w:val="333333"/>
                <w:sz w:val="28"/>
                <w:szCs w:val="28"/>
                <w:lang w:val="uk-UA"/>
              </w:rPr>
              <w:t>Визначення розміру додаткової дотаці</w:t>
            </w:r>
            <w:r w:rsidR="00A90BFF">
              <w:rPr>
                <w:rFonts w:ascii="Times New Roman" w:eastAsia="Times New Roman" w:hAnsi="Times New Roman"/>
                <w:b/>
                <w:bCs/>
                <w:color w:val="333333"/>
                <w:sz w:val="28"/>
                <w:szCs w:val="28"/>
                <w:lang w:val="uk-UA"/>
              </w:rPr>
              <w:t>ї</w:t>
            </w:r>
            <w:r w:rsidR="00A950F9" w:rsidRPr="006E6FAD">
              <w:rPr>
                <w:rFonts w:ascii="Times New Roman" w:eastAsia="Times New Roman" w:hAnsi="Times New Roman"/>
                <w:b/>
                <w:bCs/>
                <w:color w:val="333333"/>
                <w:sz w:val="28"/>
                <w:szCs w:val="28"/>
                <w:lang w:val="uk-UA"/>
              </w:rPr>
              <w:t xml:space="preserve"> для надання компенсації вартості електричної енергії у розмірі перевищення тарифу на послуги з розподілу електричної енергії на території пріоритетного розвитку над середнім по Україні розміром такого тарифу та її надання резидентам території пріоритетного розвитку здійснюється у порядку, визначеному Кабінетом Міністрів України.</w:t>
            </w:r>
          </w:p>
        </w:tc>
      </w:tr>
      <w:tr w:rsidR="00301E68" w:rsidRPr="00A90BFF" w14:paraId="5C647FB8" w14:textId="77777777" w:rsidTr="0021077E">
        <w:trPr>
          <w:trHeight w:val="1486"/>
        </w:trPr>
        <w:tc>
          <w:tcPr>
            <w:tcW w:w="7484" w:type="dxa"/>
          </w:tcPr>
          <w:p w14:paraId="3D6F7C15" w14:textId="30B81A52" w:rsidR="00301E68" w:rsidRPr="006E6FAD" w:rsidRDefault="00661A49" w:rsidP="005B109C">
            <w:pPr>
              <w:spacing w:after="0" w:line="240" w:lineRule="auto"/>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lastRenderedPageBreak/>
              <w:t>Положення відсутнє</w:t>
            </w:r>
          </w:p>
        </w:tc>
        <w:tc>
          <w:tcPr>
            <w:tcW w:w="7117" w:type="dxa"/>
          </w:tcPr>
          <w:p w14:paraId="356721FB" w14:textId="0959CDCB" w:rsidR="00F72F51" w:rsidRPr="006E6FAD" w:rsidRDefault="00661A49" w:rsidP="00EA02F6">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Стаття 103</w:t>
            </w:r>
            <w:r w:rsidRPr="006E6FAD">
              <w:rPr>
                <w:rFonts w:ascii="Times New Roman" w:eastAsia="Times New Roman" w:hAnsi="Times New Roman"/>
                <w:b/>
                <w:bCs/>
                <w:color w:val="333333"/>
                <w:sz w:val="28"/>
                <w:szCs w:val="28"/>
                <w:vertAlign w:val="superscript"/>
                <w:lang w:val="uk-UA"/>
              </w:rPr>
              <w:t>-</w:t>
            </w:r>
            <w:r w:rsidR="007504F7" w:rsidRPr="006E6FAD">
              <w:rPr>
                <w:rFonts w:ascii="Times New Roman" w:eastAsia="Times New Roman" w:hAnsi="Times New Roman"/>
                <w:b/>
                <w:bCs/>
                <w:color w:val="333333"/>
                <w:sz w:val="28"/>
                <w:szCs w:val="28"/>
                <w:vertAlign w:val="superscript"/>
              </w:rPr>
              <w:t>9</w:t>
            </w:r>
            <w:r w:rsidRPr="006E6FAD">
              <w:rPr>
                <w:rFonts w:ascii="Times New Roman" w:eastAsia="Times New Roman" w:hAnsi="Times New Roman"/>
                <w:b/>
                <w:bCs/>
                <w:color w:val="333333"/>
                <w:sz w:val="28"/>
                <w:szCs w:val="28"/>
                <w:lang w:val="uk-UA"/>
              </w:rPr>
              <w:t xml:space="preserve">. </w:t>
            </w:r>
            <w:r w:rsidR="00F72F51" w:rsidRPr="006E6FAD">
              <w:rPr>
                <w:rFonts w:ascii="Times New Roman" w:eastAsia="Times New Roman" w:hAnsi="Times New Roman"/>
                <w:b/>
                <w:bCs/>
                <w:color w:val="333333"/>
                <w:sz w:val="28"/>
                <w:szCs w:val="28"/>
                <w:lang w:val="uk-UA"/>
              </w:rPr>
              <w:t xml:space="preserve">Субвенція на реалізацію проектів громадського бюджету (бюджету участі) на території пріоритетного розвитку </w:t>
            </w:r>
          </w:p>
          <w:p w14:paraId="508F6795" w14:textId="3B236417" w:rsidR="00F72F51" w:rsidRPr="006E6FAD" w:rsidRDefault="00F72F51" w:rsidP="00EA02F6">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1. Субвенція на реалізацію проектів громадського бюджету (бюджету участі) на території пріоритетного розвитку спрямовується на фінансування проектів громадського бюджету (бюджетів участі), які реалізуються на території пріоритетного розвитку, визначеної відповідно до Закону України "Про запровадження спеціального режиму господарської діяльності на території пріоритетного розвитку у Донецькій та Луганській областях".</w:t>
            </w:r>
          </w:p>
          <w:p w14:paraId="2885B152" w14:textId="40831117" w:rsidR="00F72F51" w:rsidRPr="006E6FAD" w:rsidRDefault="00F72F51" w:rsidP="00EA02F6">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 xml:space="preserve">2. Розподіл субвенції на реалізацію проектів громадського бюджету (бюджету участі) на території </w:t>
            </w:r>
            <w:r w:rsidRPr="006E6FAD">
              <w:rPr>
                <w:rFonts w:ascii="Times New Roman" w:eastAsia="Times New Roman" w:hAnsi="Times New Roman"/>
                <w:b/>
                <w:bCs/>
                <w:color w:val="333333"/>
                <w:sz w:val="28"/>
                <w:szCs w:val="28"/>
                <w:lang w:val="uk-UA"/>
              </w:rPr>
              <w:lastRenderedPageBreak/>
              <w:t>пріоритетного розвитку здійснюється у порядку, визначеному Кабінетом Міністрів України.</w:t>
            </w:r>
          </w:p>
          <w:p w14:paraId="6E0C7EEE" w14:textId="2BF069BC" w:rsidR="00301E68" w:rsidRPr="006E6FAD" w:rsidRDefault="00F72F51" w:rsidP="00EA02F6">
            <w:pPr>
              <w:spacing w:after="0" w:line="240" w:lineRule="auto"/>
              <w:ind w:firstLine="484"/>
              <w:jc w:val="both"/>
              <w:rPr>
                <w:rFonts w:ascii="Times New Roman" w:eastAsia="Times New Roman" w:hAnsi="Times New Roman"/>
                <w:b/>
                <w:bCs/>
                <w:color w:val="333333"/>
                <w:sz w:val="28"/>
                <w:szCs w:val="28"/>
                <w:lang w:val="uk-UA"/>
              </w:rPr>
            </w:pPr>
            <w:r w:rsidRPr="006E6FAD">
              <w:rPr>
                <w:rFonts w:ascii="Times New Roman" w:eastAsia="Times New Roman" w:hAnsi="Times New Roman"/>
                <w:b/>
                <w:bCs/>
                <w:color w:val="333333"/>
                <w:sz w:val="28"/>
                <w:szCs w:val="28"/>
                <w:lang w:val="uk-UA"/>
              </w:rPr>
              <w:t>3. Залишки коштів за субвенцією на реалізацію проектів громадського бюджету (бюджету участі) на території пріоритетного розвитку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w:t>
            </w:r>
            <w:r w:rsidR="00661A49" w:rsidRPr="006E6FAD">
              <w:rPr>
                <w:rFonts w:ascii="Times New Roman" w:eastAsia="Times New Roman" w:hAnsi="Times New Roman"/>
                <w:b/>
                <w:bCs/>
                <w:color w:val="333333"/>
                <w:sz w:val="28"/>
                <w:szCs w:val="28"/>
                <w:lang w:val="uk-UA"/>
              </w:rPr>
              <w:t>.</w:t>
            </w:r>
          </w:p>
          <w:p w14:paraId="78F7FAFC" w14:textId="59B0C899" w:rsidR="00661A49" w:rsidRPr="006E6FAD" w:rsidRDefault="00661A49" w:rsidP="00EA02F6">
            <w:pPr>
              <w:spacing w:after="0" w:line="240" w:lineRule="auto"/>
              <w:ind w:firstLine="484"/>
              <w:jc w:val="both"/>
              <w:rPr>
                <w:rFonts w:ascii="Times New Roman" w:eastAsia="Times New Roman" w:hAnsi="Times New Roman"/>
                <w:b/>
                <w:bCs/>
                <w:color w:val="333333"/>
                <w:sz w:val="28"/>
                <w:szCs w:val="28"/>
                <w:lang w:val="uk-UA"/>
              </w:rPr>
            </w:pPr>
          </w:p>
        </w:tc>
      </w:tr>
    </w:tbl>
    <w:p w14:paraId="1CADA745" w14:textId="77777777" w:rsidR="003F55D6" w:rsidRPr="006E6FAD" w:rsidRDefault="003F55D6">
      <w:pPr>
        <w:rPr>
          <w:lang w:val="uk-UA"/>
        </w:rPr>
      </w:pPr>
      <w:bookmarkStart w:id="2" w:name="n3248"/>
      <w:bookmarkStart w:id="3" w:name="n3249"/>
      <w:bookmarkStart w:id="4" w:name="n3250"/>
      <w:bookmarkStart w:id="5" w:name="n3251"/>
      <w:bookmarkEnd w:id="2"/>
      <w:bookmarkEnd w:id="3"/>
      <w:bookmarkEnd w:id="4"/>
      <w:bookmarkEnd w:id="5"/>
    </w:p>
    <w:p w14:paraId="7B80D915" w14:textId="77777777" w:rsidR="00AF3E7C" w:rsidRPr="006E6FAD" w:rsidRDefault="00AF3E7C" w:rsidP="00AF3E7C">
      <w:pPr>
        <w:jc w:val="both"/>
        <w:rPr>
          <w:sz w:val="28"/>
          <w:szCs w:val="28"/>
          <w:lang w:val="uk-UA"/>
        </w:rPr>
      </w:pPr>
    </w:p>
    <w:p w14:paraId="1914E674" w14:textId="5593E126" w:rsidR="00AF3E7C" w:rsidRPr="002D2C49" w:rsidRDefault="00AF3E7C" w:rsidP="00AF3E7C">
      <w:pPr>
        <w:spacing w:after="0" w:line="240" w:lineRule="auto"/>
        <w:rPr>
          <w:rFonts w:ascii="Times New Roman" w:hAnsi="Times New Roman"/>
          <w:b/>
          <w:sz w:val="28"/>
          <w:szCs w:val="28"/>
          <w:lang w:val="uk-UA" w:eastAsia="uk-UA"/>
        </w:rPr>
      </w:pPr>
      <w:r w:rsidRPr="006E6FAD">
        <w:rPr>
          <w:rFonts w:ascii="Times New Roman" w:hAnsi="Times New Roman"/>
          <w:b/>
          <w:sz w:val="28"/>
          <w:szCs w:val="28"/>
          <w:lang w:val="uk-UA" w:eastAsia="uk-UA"/>
        </w:rPr>
        <w:t>Народн</w:t>
      </w:r>
      <w:r w:rsidR="00AF275E" w:rsidRPr="006E6FAD">
        <w:rPr>
          <w:rFonts w:ascii="Times New Roman" w:hAnsi="Times New Roman"/>
          <w:b/>
          <w:sz w:val="28"/>
          <w:szCs w:val="28"/>
          <w:lang w:val="uk-UA" w:eastAsia="uk-UA"/>
        </w:rPr>
        <w:t xml:space="preserve">і депутати </w:t>
      </w:r>
      <w:r w:rsidRPr="006E6FAD">
        <w:rPr>
          <w:rFonts w:ascii="Times New Roman" w:hAnsi="Times New Roman"/>
          <w:b/>
          <w:sz w:val="28"/>
          <w:szCs w:val="28"/>
          <w:lang w:val="uk-UA" w:eastAsia="uk-UA"/>
        </w:rPr>
        <w:t>України</w:t>
      </w:r>
    </w:p>
    <w:p w14:paraId="279A1CB9" w14:textId="77777777" w:rsidR="00703053" w:rsidRPr="002D2C49" w:rsidRDefault="00703053">
      <w:pPr>
        <w:rPr>
          <w:lang w:val="uk-UA"/>
        </w:rPr>
      </w:pPr>
    </w:p>
    <w:sectPr w:rsidR="00703053" w:rsidRPr="002D2C49" w:rsidSect="0021077E">
      <w:head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85F0" w14:textId="77777777" w:rsidR="00E52948" w:rsidRDefault="00E52948">
      <w:pPr>
        <w:spacing w:after="0" w:line="240" w:lineRule="auto"/>
      </w:pPr>
      <w:r>
        <w:separator/>
      </w:r>
    </w:p>
  </w:endnote>
  <w:endnote w:type="continuationSeparator" w:id="0">
    <w:p w14:paraId="114AAC43" w14:textId="77777777" w:rsidR="00E52948" w:rsidRDefault="00E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2F90" w14:textId="77777777" w:rsidR="00E52948" w:rsidRDefault="00E52948">
      <w:pPr>
        <w:spacing w:after="0" w:line="240" w:lineRule="auto"/>
      </w:pPr>
      <w:r>
        <w:separator/>
      </w:r>
    </w:p>
  </w:footnote>
  <w:footnote w:type="continuationSeparator" w:id="0">
    <w:p w14:paraId="3B727890" w14:textId="77777777" w:rsidR="00E52948" w:rsidRDefault="00E5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85D9" w14:textId="1BD430F6" w:rsidR="0064371E" w:rsidRPr="00E42893" w:rsidRDefault="0064371E">
    <w:pPr>
      <w:pStyle w:val="a7"/>
      <w:jc w:val="center"/>
      <w:rPr>
        <w:rFonts w:ascii="Times New Roman" w:hAnsi="Times New Roman"/>
        <w:sz w:val="24"/>
        <w:szCs w:val="24"/>
      </w:rPr>
    </w:pPr>
    <w:r w:rsidRPr="00E42893">
      <w:rPr>
        <w:rFonts w:ascii="Times New Roman" w:hAnsi="Times New Roman"/>
        <w:sz w:val="24"/>
        <w:szCs w:val="24"/>
      </w:rPr>
      <w:fldChar w:fldCharType="begin"/>
    </w:r>
    <w:r w:rsidRPr="00E42893">
      <w:rPr>
        <w:rFonts w:ascii="Times New Roman" w:hAnsi="Times New Roman"/>
        <w:sz w:val="24"/>
        <w:szCs w:val="24"/>
      </w:rPr>
      <w:instrText>PAGE   \* MERGEFORMAT</w:instrText>
    </w:r>
    <w:r w:rsidRPr="00E42893">
      <w:rPr>
        <w:rFonts w:ascii="Times New Roman" w:hAnsi="Times New Roman"/>
        <w:sz w:val="24"/>
        <w:szCs w:val="24"/>
      </w:rPr>
      <w:fldChar w:fldCharType="separate"/>
    </w:r>
    <w:r w:rsidR="00DE04BF" w:rsidRPr="00DE04BF">
      <w:rPr>
        <w:rFonts w:ascii="Times New Roman" w:hAnsi="Times New Roman"/>
        <w:noProof/>
        <w:sz w:val="24"/>
        <w:szCs w:val="24"/>
        <w:lang w:val="uk-UA"/>
      </w:rPr>
      <w:t>2</w:t>
    </w:r>
    <w:r w:rsidRPr="00E42893">
      <w:rPr>
        <w:rFonts w:ascii="Times New Roman" w:hAnsi="Times New Roman"/>
        <w:sz w:val="24"/>
        <w:szCs w:val="24"/>
      </w:rPr>
      <w:fldChar w:fldCharType="end"/>
    </w:r>
  </w:p>
  <w:p w14:paraId="3259955F" w14:textId="77777777" w:rsidR="0064371E" w:rsidRDefault="006437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CB5"/>
    <w:multiLevelType w:val="hybridMultilevel"/>
    <w:tmpl w:val="FB881B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17"/>
    <w:rsid w:val="00001AB4"/>
    <w:rsid w:val="00002AB8"/>
    <w:rsid w:val="000202DE"/>
    <w:rsid w:val="00023922"/>
    <w:rsid w:val="00024FD8"/>
    <w:rsid w:val="00032948"/>
    <w:rsid w:val="00095779"/>
    <w:rsid w:val="000B500D"/>
    <w:rsid w:val="000D4061"/>
    <w:rsid w:val="000E262A"/>
    <w:rsid w:val="000E51BD"/>
    <w:rsid w:val="000E6417"/>
    <w:rsid w:val="001038DE"/>
    <w:rsid w:val="00107092"/>
    <w:rsid w:val="0011435A"/>
    <w:rsid w:val="00125737"/>
    <w:rsid w:val="00176A82"/>
    <w:rsid w:val="00190FAB"/>
    <w:rsid w:val="001A6C54"/>
    <w:rsid w:val="001D5EB1"/>
    <w:rsid w:val="001E79FA"/>
    <w:rsid w:val="0021077E"/>
    <w:rsid w:val="00220B59"/>
    <w:rsid w:val="00226CCD"/>
    <w:rsid w:val="002351B1"/>
    <w:rsid w:val="00261220"/>
    <w:rsid w:val="00277B64"/>
    <w:rsid w:val="002912AC"/>
    <w:rsid w:val="002C2E23"/>
    <w:rsid w:val="002D2C49"/>
    <w:rsid w:val="002D5662"/>
    <w:rsid w:val="002E26C6"/>
    <w:rsid w:val="002E29E5"/>
    <w:rsid w:val="002E2F0A"/>
    <w:rsid w:val="002F3031"/>
    <w:rsid w:val="0030152F"/>
    <w:rsid w:val="00301E68"/>
    <w:rsid w:val="0033558E"/>
    <w:rsid w:val="00344C4A"/>
    <w:rsid w:val="00351AF5"/>
    <w:rsid w:val="00370375"/>
    <w:rsid w:val="003B23D6"/>
    <w:rsid w:val="003D1A40"/>
    <w:rsid w:val="003F55D6"/>
    <w:rsid w:val="00401992"/>
    <w:rsid w:val="00411141"/>
    <w:rsid w:val="00426E4E"/>
    <w:rsid w:val="00436BE4"/>
    <w:rsid w:val="0043764D"/>
    <w:rsid w:val="00447C47"/>
    <w:rsid w:val="00450FF7"/>
    <w:rsid w:val="00466710"/>
    <w:rsid w:val="004767BD"/>
    <w:rsid w:val="00477F98"/>
    <w:rsid w:val="004A4503"/>
    <w:rsid w:val="00532070"/>
    <w:rsid w:val="00532489"/>
    <w:rsid w:val="0053378C"/>
    <w:rsid w:val="0055661D"/>
    <w:rsid w:val="0056350C"/>
    <w:rsid w:val="005747BB"/>
    <w:rsid w:val="00591044"/>
    <w:rsid w:val="005917CA"/>
    <w:rsid w:val="005928F6"/>
    <w:rsid w:val="00594562"/>
    <w:rsid w:val="005A176C"/>
    <w:rsid w:val="005B109C"/>
    <w:rsid w:val="005C3259"/>
    <w:rsid w:val="005E408C"/>
    <w:rsid w:val="005E59C7"/>
    <w:rsid w:val="005E70D1"/>
    <w:rsid w:val="00613AED"/>
    <w:rsid w:val="00633781"/>
    <w:rsid w:val="0064371E"/>
    <w:rsid w:val="00647D19"/>
    <w:rsid w:val="006579A8"/>
    <w:rsid w:val="00661A49"/>
    <w:rsid w:val="00663449"/>
    <w:rsid w:val="006643B5"/>
    <w:rsid w:val="006937B7"/>
    <w:rsid w:val="006A17B1"/>
    <w:rsid w:val="006C10A2"/>
    <w:rsid w:val="006E5F45"/>
    <w:rsid w:val="006E6541"/>
    <w:rsid w:val="006E6FAD"/>
    <w:rsid w:val="00703053"/>
    <w:rsid w:val="007238D1"/>
    <w:rsid w:val="007371E8"/>
    <w:rsid w:val="007504F7"/>
    <w:rsid w:val="007735D0"/>
    <w:rsid w:val="00776C57"/>
    <w:rsid w:val="00787F7B"/>
    <w:rsid w:val="007B1B11"/>
    <w:rsid w:val="007B2AC3"/>
    <w:rsid w:val="007B57CB"/>
    <w:rsid w:val="007B5F76"/>
    <w:rsid w:val="00802B40"/>
    <w:rsid w:val="00806792"/>
    <w:rsid w:val="00807A6E"/>
    <w:rsid w:val="00810266"/>
    <w:rsid w:val="00811217"/>
    <w:rsid w:val="00814AC7"/>
    <w:rsid w:val="00815F3F"/>
    <w:rsid w:val="0082392E"/>
    <w:rsid w:val="00830A55"/>
    <w:rsid w:val="00834A6C"/>
    <w:rsid w:val="00844982"/>
    <w:rsid w:val="00855093"/>
    <w:rsid w:val="00876A58"/>
    <w:rsid w:val="008915DB"/>
    <w:rsid w:val="008A1FE1"/>
    <w:rsid w:val="008B20BC"/>
    <w:rsid w:val="008B2E9E"/>
    <w:rsid w:val="008B5468"/>
    <w:rsid w:val="008C574F"/>
    <w:rsid w:val="008E5AFB"/>
    <w:rsid w:val="008F456E"/>
    <w:rsid w:val="00957E47"/>
    <w:rsid w:val="009745AB"/>
    <w:rsid w:val="009A0B38"/>
    <w:rsid w:val="009A534C"/>
    <w:rsid w:val="009E3F2E"/>
    <w:rsid w:val="00A26003"/>
    <w:rsid w:val="00A26F6F"/>
    <w:rsid w:val="00A30C21"/>
    <w:rsid w:val="00A44CCF"/>
    <w:rsid w:val="00A75BC9"/>
    <w:rsid w:val="00A90BFF"/>
    <w:rsid w:val="00A94CD3"/>
    <w:rsid w:val="00A950F9"/>
    <w:rsid w:val="00AA1192"/>
    <w:rsid w:val="00AA6034"/>
    <w:rsid w:val="00AB5216"/>
    <w:rsid w:val="00AD4072"/>
    <w:rsid w:val="00AD6692"/>
    <w:rsid w:val="00AE4E49"/>
    <w:rsid w:val="00AF275E"/>
    <w:rsid w:val="00AF3E7C"/>
    <w:rsid w:val="00AF7294"/>
    <w:rsid w:val="00B10113"/>
    <w:rsid w:val="00B322C6"/>
    <w:rsid w:val="00B33537"/>
    <w:rsid w:val="00B53F95"/>
    <w:rsid w:val="00B62DC2"/>
    <w:rsid w:val="00B93F00"/>
    <w:rsid w:val="00B97C17"/>
    <w:rsid w:val="00BC28A3"/>
    <w:rsid w:val="00BC3B47"/>
    <w:rsid w:val="00BC543C"/>
    <w:rsid w:val="00BF2CBF"/>
    <w:rsid w:val="00BF6314"/>
    <w:rsid w:val="00C05E1F"/>
    <w:rsid w:val="00C12663"/>
    <w:rsid w:val="00C45C5D"/>
    <w:rsid w:val="00C67FD5"/>
    <w:rsid w:val="00C84FF6"/>
    <w:rsid w:val="00CC1B58"/>
    <w:rsid w:val="00CC64D9"/>
    <w:rsid w:val="00CD1D4A"/>
    <w:rsid w:val="00CE218B"/>
    <w:rsid w:val="00CE59DE"/>
    <w:rsid w:val="00D029E1"/>
    <w:rsid w:val="00D5517D"/>
    <w:rsid w:val="00D718DE"/>
    <w:rsid w:val="00D87A1B"/>
    <w:rsid w:val="00DA017E"/>
    <w:rsid w:val="00DA4645"/>
    <w:rsid w:val="00DC0919"/>
    <w:rsid w:val="00DC2215"/>
    <w:rsid w:val="00DE04BF"/>
    <w:rsid w:val="00DE3557"/>
    <w:rsid w:val="00E3480F"/>
    <w:rsid w:val="00E42893"/>
    <w:rsid w:val="00E52948"/>
    <w:rsid w:val="00E55183"/>
    <w:rsid w:val="00E57181"/>
    <w:rsid w:val="00E74ECB"/>
    <w:rsid w:val="00E75175"/>
    <w:rsid w:val="00E80F23"/>
    <w:rsid w:val="00EA02F6"/>
    <w:rsid w:val="00EA0FBF"/>
    <w:rsid w:val="00EE34C2"/>
    <w:rsid w:val="00EE41D2"/>
    <w:rsid w:val="00EF007F"/>
    <w:rsid w:val="00EF353C"/>
    <w:rsid w:val="00F01D5A"/>
    <w:rsid w:val="00F231F2"/>
    <w:rsid w:val="00F27931"/>
    <w:rsid w:val="00F42B48"/>
    <w:rsid w:val="00F63B63"/>
    <w:rsid w:val="00F63D9D"/>
    <w:rsid w:val="00F66C24"/>
    <w:rsid w:val="00F72F51"/>
    <w:rsid w:val="00F83716"/>
    <w:rsid w:val="00FA14CA"/>
    <w:rsid w:val="00FB3519"/>
    <w:rsid w:val="00FE1709"/>
    <w:rsid w:val="00FE3A50"/>
    <w:rsid w:val="00FE3B91"/>
    <w:rsid w:val="00FF3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3A39B"/>
  <w14:defaultImageDpi w14:val="0"/>
  <w15:docId w15:val="{C0ABFD0D-792C-4410-B2B2-F6D940F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183"/>
    <w:pPr>
      <w:spacing w:after="200" w:line="276" w:lineRule="auto"/>
    </w:pPr>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97C1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Title"/>
    <w:basedOn w:val="a"/>
    <w:link w:val="a4"/>
    <w:uiPriority w:val="10"/>
    <w:qFormat/>
    <w:rsid w:val="00B97C17"/>
    <w:pPr>
      <w:autoSpaceDE w:val="0"/>
      <w:autoSpaceDN w:val="0"/>
      <w:spacing w:after="0" w:line="240" w:lineRule="auto"/>
      <w:jc w:val="center"/>
    </w:pPr>
    <w:rPr>
      <w:rFonts w:ascii="Cambria" w:eastAsia="Times New Roman" w:hAnsi="Cambria"/>
      <w:b/>
      <w:bCs/>
      <w:kern w:val="28"/>
      <w:sz w:val="32"/>
      <w:szCs w:val="32"/>
      <w:lang w:val="uk-UA" w:eastAsia="uk-UA"/>
    </w:rPr>
  </w:style>
  <w:style w:type="character" w:customStyle="1" w:styleId="a4">
    <w:name w:val="Назва Знак"/>
    <w:basedOn w:val="a0"/>
    <w:link w:val="a3"/>
    <w:uiPriority w:val="99"/>
    <w:locked/>
    <w:rsid w:val="00B97C17"/>
    <w:rPr>
      <w:rFonts w:ascii="Cambria" w:hAnsi="Cambria" w:cs="Times New Roman"/>
      <w:b/>
      <w:bCs/>
      <w:kern w:val="28"/>
      <w:sz w:val="32"/>
      <w:szCs w:val="32"/>
      <w:lang w:val="x-none" w:eastAsia="uk-UA"/>
    </w:rPr>
  </w:style>
  <w:style w:type="character" w:customStyle="1" w:styleId="rvts9">
    <w:name w:val="rvts9"/>
    <w:basedOn w:val="a0"/>
    <w:rsid w:val="00B97C17"/>
    <w:rPr>
      <w:rFonts w:cs="Times New Roman"/>
    </w:rPr>
  </w:style>
  <w:style w:type="paragraph" w:customStyle="1" w:styleId="rvps7">
    <w:name w:val="rvps7"/>
    <w:basedOn w:val="a"/>
    <w:rsid w:val="00B97C1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basedOn w:val="a0"/>
    <w:uiPriority w:val="99"/>
    <w:semiHidden/>
    <w:unhideWhenUsed/>
    <w:rsid w:val="00B97C17"/>
    <w:rPr>
      <w:rFonts w:cs="Times New Roman"/>
      <w:color w:val="0000FF"/>
      <w:u w:val="single"/>
    </w:rPr>
  </w:style>
  <w:style w:type="paragraph" w:customStyle="1" w:styleId="a6">
    <w:name w:val="Нормальний текст"/>
    <w:basedOn w:val="a"/>
    <w:uiPriority w:val="99"/>
    <w:qFormat/>
    <w:rsid w:val="00B97C17"/>
    <w:pPr>
      <w:spacing w:before="120" w:after="0" w:line="240" w:lineRule="auto"/>
      <w:ind w:firstLine="567"/>
      <w:jc w:val="both"/>
    </w:pPr>
    <w:rPr>
      <w:rFonts w:ascii="Antiqua" w:eastAsia="Times New Roman" w:hAnsi="Antiqua"/>
      <w:sz w:val="26"/>
      <w:szCs w:val="20"/>
      <w:lang w:val="uk-UA"/>
    </w:rPr>
  </w:style>
  <w:style w:type="paragraph" w:styleId="a7">
    <w:name w:val="header"/>
    <w:basedOn w:val="a"/>
    <w:link w:val="a8"/>
    <w:uiPriority w:val="99"/>
    <w:unhideWhenUsed/>
    <w:rsid w:val="00B97C17"/>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B97C17"/>
    <w:rPr>
      <w:rFonts w:eastAsiaTheme="minorEastAsia" w:cs="Times New Roman"/>
      <w:lang w:val="ru-RU" w:eastAsia="ru-RU"/>
    </w:rPr>
  </w:style>
  <w:style w:type="paragraph" w:styleId="a9">
    <w:name w:val="annotation text"/>
    <w:basedOn w:val="a"/>
    <w:link w:val="aa"/>
    <w:uiPriority w:val="99"/>
    <w:semiHidden/>
    <w:unhideWhenUsed/>
    <w:rsid w:val="00B97C17"/>
    <w:pPr>
      <w:spacing w:line="240" w:lineRule="auto"/>
    </w:pPr>
    <w:rPr>
      <w:sz w:val="20"/>
      <w:szCs w:val="20"/>
    </w:rPr>
  </w:style>
  <w:style w:type="character" w:customStyle="1" w:styleId="aa">
    <w:name w:val="Текст примітки Знак"/>
    <w:basedOn w:val="a0"/>
    <w:link w:val="a9"/>
    <w:uiPriority w:val="99"/>
    <w:semiHidden/>
    <w:locked/>
    <w:rsid w:val="00B97C17"/>
    <w:rPr>
      <w:rFonts w:eastAsiaTheme="minorEastAsia" w:cs="Times New Roman"/>
      <w:sz w:val="20"/>
      <w:szCs w:val="20"/>
      <w:lang w:val="ru-RU" w:eastAsia="ru-RU"/>
    </w:rPr>
  </w:style>
  <w:style w:type="character" w:styleId="ab">
    <w:name w:val="annotation reference"/>
    <w:basedOn w:val="a0"/>
    <w:uiPriority w:val="99"/>
    <w:semiHidden/>
    <w:unhideWhenUsed/>
    <w:rsid w:val="00B97C17"/>
    <w:rPr>
      <w:rFonts w:cs="Times New Roman"/>
      <w:sz w:val="16"/>
      <w:szCs w:val="16"/>
    </w:rPr>
  </w:style>
  <w:style w:type="paragraph" w:styleId="ac">
    <w:name w:val="annotation subject"/>
    <w:basedOn w:val="a9"/>
    <w:next w:val="a9"/>
    <w:link w:val="ad"/>
    <w:uiPriority w:val="99"/>
    <w:semiHidden/>
    <w:unhideWhenUsed/>
    <w:rsid w:val="002912AC"/>
    <w:rPr>
      <w:b/>
      <w:bCs/>
    </w:rPr>
  </w:style>
  <w:style w:type="character" w:customStyle="1" w:styleId="ad">
    <w:name w:val="Тема примітки Знак"/>
    <w:basedOn w:val="aa"/>
    <w:link w:val="ac"/>
    <w:uiPriority w:val="99"/>
    <w:semiHidden/>
    <w:locked/>
    <w:rsid w:val="002912AC"/>
    <w:rPr>
      <w:rFonts w:eastAsiaTheme="minorEastAsia" w:cs="Times New Roman"/>
      <w:b/>
      <w:bCs/>
      <w:sz w:val="20"/>
      <w:szCs w:val="20"/>
      <w:lang w:val="ru-RU" w:eastAsia="ru-RU"/>
    </w:rPr>
  </w:style>
  <w:style w:type="paragraph" w:styleId="ae">
    <w:name w:val="Balloon Text"/>
    <w:basedOn w:val="a"/>
    <w:link w:val="af"/>
    <w:uiPriority w:val="99"/>
    <w:semiHidden/>
    <w:unhideWhenUsed/>
    <w:rsid w:val="00B97C17"/>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locked/>
    <w:rsid w:val="00B97C17"/>
    <w:rPr>
      <w:rFonts w:ascii="Segoe UI" w:eastAsiaTheme="minorEastAsia" w:hAnsi="Segoe UI" w:cs="Segoe UI"/>
      <w:sz w:val="18"/>
      <w:szCs w:val="18"/>
      <w:lang w:val="ru-RU" w:eastAsia="ru-RU"/>
    </w:rPr>
  </w:style>
  <w:style w:type="paragraph" w:styleId="af0">
    <w:name w:val="footer"/>
    <w:basedOn w:val="a"/>
    <w:link w:val="af1"/>
    <w:uiPriority w:val="99"/>
    <w:unhideWhenUsed/>
    <w:rsid w:val="00E42893"/>
    <w:pPr>
      <w:tabs>
        <w:tab w:val="center" w:pos="4819"/>
        <w:tab w:val="right" w:pos="9639"/>
      </w:tabs>
      <w:spacing w:after="0" w:line="240" w:lineRule="auto"/>
    </w:pPr>
  </w:style>
  <w:style w:type="character" w:customStyle="1" w:styleId="af1">
    <w:name w:val="Нижній колонтитул Знак"/>
    <w:basedOn w:val="a0"/>
    <w:link w:val="af0"/>
    <w:uiPriority w:val="99"/>
    <w:locked/>
    <w:rsid w:val="00E42893"/>
    <w:rPr>
      <w:rFonts w:eastAsiaTheme="minorEastAsia" w:cs="Times New Roman"/>
      <w:lang w:val="ru-RU" w:eastAsia="ru-RU"/>
    </w:rPr>
  </w:style>
  <w:style w:type="paragraph" w:styleId="af2">
    <w:name w:val="List Paragraph"/>
    <w:basedOn w:val="a"/>
    <w:uiPriority w:val="34"/>
    <w:qFormat/>
    <w:rsid w:val="002D2C49"/>
    <w:pPr>
      <w:ind w:left="720"/>
      <w:contextualSpacing/>
    </w:pPr>
  </w:style>
  <w:style w:type="character" w:customStyle="1" w:styleId="rvts37">
    <w:name w:val="rvts37"/>
    <w:basedOn w:val="a0"/>
    <w:rsid w:val="002D2C49"/>
  </w:style>
  <w:style w:type="character" w:customStyle="1" w:styleId="rvts46">
    <w:name w:val="rvts46"/>
    <w:basedOn w:val="a0"/>
    <w:rsid w:val="008B2E9E"/>
  </w:style>
  <w:style w:type="character" w:customStyle="1" w:styleId="rvts15">
    <w:name w:val="rvts15"/>
    <w:basedOn w:val="a0"/>
    <w:rsid w:val="005B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430">
      <w:bodyDiv w:val="1"/>
      <w:marLeft w:val="0"/>
      <w:marRight w:val="0"/>
      <w:marTop w:val="0"/>
      <w:marBottom w:val="0"/>
      <w:divBdr>
        <w:top w:val="none" w:sz="0" w:space="0" w:color="auto"/>
        <w:left w:val="none" w:sz="0" w:space="0" w:color="auto"/>
        <w:bottom w:val="none" w:sz="0" w:space="0" w:color="auto"/>
        <w:right w:val="none" w:sz="0" w:space="0" w:color="auto"/>
      </w:divBdr>
    </w:div>
    <w:div w:id="77599526">
      <w:bodyDiv w:val="1"/>
      <w:marLeft w:val="0"/>
      <w:marRight w:val="0"/>
      <w:marTop w:val="0"/>
      <w:marBottom w:val="0"/>
      <w:divBdr>
        <w:top w:val="none" w:sz="0" w:space="0" w:color="auto"/>
        <w:left w:val="none" w:sz="0" w:space="0" w:color="auto"/>
        <w:bottom w:val="none" w:sz="0" w:space="0" w:color="auto"/>
        <w:right w:val="none" w:sz="0" w:space="0" w:color="auto"/>
      </w:divBdr>
    </w:div>
    <w:div w:id="88550951">
      <w:bodyDiv w:val="1"/>
      <w:marLeft w:val="0"/>
      <w:marRight w:val="0"/>
      <w:marTop w:val="0"/>
      <w:marBottom w:val="0"/>
      <w:divBdr>
        <w:top w:val="none" w:sz="0" w:space="0" w:color="auto"/>
        <w:left w:val="none" w:sz="0" w:space="0" w:color="auto"/>
        <w:bottom w:val="none" w:sz="0" w:space="0" w:color="auto"/>
        <w:right w:val="none" w:sz="0" w:space="0" w:color="auto"/>
      </w:divBdr>
    </w:div>
    <w:div w:id="96222799">
      <w:bodyDiv w:val="1"/>
      <w:marLeft w:val="0"/>
      <w:marRight w:val="0"/>
      <w:marTop w:val="0"/>
      <w:marBottom w:val="0"/>
      <w:divBdr>
        <w:top w:val="none" w:sz="0" w:space="0" w:color="auto"/>
        <w:left w:val="none" w:sz="0" w:space="0" w:color="auto"/>
        <w:bottom w:val="none" w:sz="0" w:space="0" w:color="auto"/>
        <w:right w:val="none" w:sz="0" w:space="0" w:color="auto"/>
      </w:divBdr>
    </w:div>
    <w:div w:id="255407275">
      <w:bodyDiv w:val="1"/>
      <w:marLeft w:val="0"/>
      <w:marRight w:val="0"/>
      <w:marTop w:val="0"/>
      <w:marBottom w:val="0"/>
      <w:divBdr>
        <w:top w:val="none" w:sz="0" w:space="0" w:color="auto"/>
        <w:left w:val="none" w:sz="0" w:space="0" w:color="auto"/>
        <w:bottom w:val="none" w:sz="0" w:space="0" w:color="auto"/>
        <w:right w:val="none" w:sz="0" w:space="0" w:color="auto"/>
      </w:divBdr>
    </w:div>
    <w:div w:id="410662651">
      <w:bodyDiv w:val="1"/>
      <w:marLeft w:val="0"/>
      <w:marRight w:val="0"/>
      <w:marTop w:val="0"/>
      <w:marBottom w:val="0"/>
      <w:divBdr>
        <w:top w:val="none" w:sz="0" w:space="0" w:color="auto"/>
        <w:left w:val="none" w:sz="0" w:space="0" w:color="auto"/>
        <w:bottom w:val="none" w:sz="0" w:space="0" w:color="auto"/>
        <w:right w:val="none" w:sz="0" w:space="0" w:color="auto"/>
      </w:divBdr>
    </w:div>
    <w:div w:id="414133199">
      <w:bodyDiv w:val="1"/>
      <w:marLeft w:val="0"/>
      <w:marRight w:val="0"/>
      <w:marTop w:val="0"/>
      <w:marBottom w:val="0"/>
      <w:divBdr>
        <w:top w:val="none" w:sz="0" w:space="0" w:color="auto"/>
        <w:left w:val="none" w:sz="0" w:space="0" w:color="auto"/>
        <w:bottom w:val="none" w:sz="0" w:space="0" w:color="auto"/>
        <w:right w:val="none" w:sz="0" w:space="0" w:color="auto"/>
      </w:divBdr>
    </w:div>
    <w:div w:id="442195348">
      <w:bodyDiv w:val="1"/>
      <w:marLeft w:val="0"/>
      <w:marRight w:val="0"/>
      <w:marTop w:val="0"/>
      <w:marBottom w:val="0"/>
      <w:divBdr>
        <w:top w:val="none" w:sz="0" w:space="0" w:color="auto"/>
        <w:left w:val="none" w:sz="0" w:space="0" w:color="auto"/>
        <w:bottom w:val="none" w:sz="0" w:space="0" w:color="auto"/>
        <w:right w:val="none" w:sz="0" w:space="0" w:color="auto"/>
      </w:divBdr>
    </w:div>
    <w:div w:id="460274004">
      <w:bodyDiv w:val="1"/>
      <w:marLeft w:val="0"/>
      <w:marRight w:val="0"/>
      <w:marTop w:val="0"/>
      <w:marBottom w:val="0"/>
      <w:divBdr>
        <w:top w:val="none" w:sz="0" w:space="0" w:color="auto"/>
        <w:left w:val="none" w:sz="0" w:space="0" w:color="auto"/>
        <w:bottom w:val="none" w:sz="0" w:space="0" w:color="auto"/>
        <w:right w:val="none" w:sz="0" w:space="0" w:color="auto"/>
      </w:divBdr>
    </w:div>
    <w:div w:id="548490699">
      <w:bodyDiv w:val="1"/>
      <w:marLeft w:val="0"/>
      <w:marRight w:val="0"/>
      <w:marTop w:val="0"/>
      <w:marBottom w:val="0"/>
      <w:divBdr>
        <w:top w:val="none" w:sz="0" w:space="0" w:color="auto"/>
        <w:left w:val="none" w:sz="0" w:space="0" w:color="auto"/>
        <w:bottom w:val="none" w:sz="0" w:space="0" w:color="auto"/>
        <w:right w:val="none" w:sz="0" w:space="0" w:color="auto"/>
      </w:divBdr>
    </w:div>
    <w:div w:id="610936757">
      <w:bodyDiv w:val="1"/>
      <w:marLeft w:val="0"/>
      <w:marRight w:val="0"/>
      <w:marTop w:val="0"/>
      <w:marBottom w:val="0"/>
      <w:divBdr>
        <w:top w:val="none" w:sz="0" w:space="0" w:color="auto"/>
        <w:left w:val="none" w:sz="0" w:space="0" w:color="auto"/>
        <w:bottom w:val="none" w:sz="0" w:space="0" w:color="auto"/>
        <w:right w:val="none" w:sz="0" w:space="0" w:color="auto"/>
      </w:divBdr>
    </w:div>
    <w:div w:id="617613181">
      <w:bodyDiv w:val="1"/>
      <w:marLeft w:val="0"/>
      <w:marRight w:val="0"/>
      <w:marTop w:val="0"/>
      <w:marBottom w:val="0"/>
      <w:divBdr>
        <w:top w:val="none" w:sz="0" w:space="0" w:color="auto"/>
        <w:left w:val="none" w:sz="0" w:space="0" w:color="auto"/>
        <w:bottom w:val="none" w:sz="0" w:space="0" w:color="auto"/>
        <w:right w:val="none" w:sz="0" w:space="0" w:color="auto"/>
      </w:divBdr>
    </w:div>
    <w:div w:id="618493825">
      <w:bodyDiv w:val="1"/>
      <w:marLeft w:val="0"/>
      <w:marRight w:val="0"/>
      <w:marTop w:val="0"/>
      <w:marBottom w:val="0"/>
      <w:divBdr>
        <w:top w:val="none" w:sz="0" w:space="0" w:color="auto"/>
        <w:left w:val="none" w:sz="0" w:space="0" w:color="auto"/>
        <w:bottom w:val="none" w:sz="0" w:space="0" w:color="auto"/>
        <w:right w:val="none" w:sz="0" w:space="0" w:color="auto"/>
      </w:divBdr>
    </w:div>
    <w:div w:id="699818304">
      <w:bodyDiv w:val="1"/>
      <w:marLeft w:val="0"/>
      <w:marRight w:val="0"/>
      <w:marTop w:val="0"/>
      <w:marBottom w:val="0"/>
      <w:divBdr>
        <w:top w:val="none" w:sz="0" w:space="0" w:color="auto"/>
        <w:left w:val="none" w:sz="0" w:space="0" w:color="auto"/>
        <w:bottom w:val="none" w:sz="0" w:space="0" w:color="auto"/>
        <w:right w:val="none" w:sz="0" w:space="0" w:color="auto"/>
      </w:divBdr>
    </w:div>
    <w:div w:id="781997526">
      <w:bodyDiv w:val="1"/>
      <w:marLeft w:val="0"/>
      <w:marRight w:val="0"/>
      <w:marTop w:val="0"/>
      <w:marBottom w:val="0"/>
      <w:divBdr>
        <w:top w:val="none" w:sz="0" w:space="0" w:color="auto"/>
        <w:left w:val="none" w:sz="0" w:space="0" w:color="auto"/>
        <w:bottom w:val="none" w:sz="0" w:space="0" w:color="auto"/>
        <w:right w:val="none" w:sz="0" w:space="0" w:color="auto"/>
      </w:divBdr>
    </w:div>
    <w:div w:id="813444793">
      <w:bodyDiv w:val="1"/>
      <w:marLeft w:val="0"/>
      <w:marRight w:val="0"/>
      <w:marTop w:val="0"/>
      <w:marBottom w:val="0"/>
      <w:divBdr>
        <w:top w:val="none" w:sz="0" w:space="0" w:color="auto"/>
        <w:left w:val="none" w:sz="0" w:space="0" w:color="auto"/>
        <w:bottom w:val="none" w:sz="0" w:space="0" w:color="auto"/>
        <w:right w:val="none" w:sz="0" w:space="0" w:color="auto"/>
      </w:divBdr>
    </w:div>
    <w:div w:id="817116280">
      <w:bodyDiv w:val="1"/>
      <w:marLeft w:val="0"/>
      <w:marRight w:val="0"/>
      <w:marTop w:val="0"/>
      <w:marBottom w:val="0"/>
      <w:divBdr>
        <w:top w:val="none" w:sz="0" w:space="0" w:color="auto"/>
        <w:left w:val="none" w:sz="0" w:space="0" w:color="auto"/>
        <w:bottom w:val="none" w:sz="0" w:space="0" w:color="auto"/>
        <w:right w:val="none" w:sz="0" w:space="0" w:color="auto"/>
      </w:divBdr>
    </w:div>
    <w:div w:id="839735436">
      <w:bodyDiv w:val="1"/>
      <w:marLeft w:val="0"/>
      <w:marRight w:val="0"/>
      <w:marTop w:val="0"/>
      <w:marBottom w:val="0"/>
      <w:divBdr>
        <w:top w:val="none" w:sz="0" w:space="0" w:color="auto"/>
        <w:left w:val="none" w:sz="0" w:space="0" w:color="auto"/>
        <w:bottom w:val="none" w:sz="0" w:space="0" w:color="auto"/>
        <w:right w:val="none" w:sz="0" w:space="0" w:color="auto"/>
      </w:divBdr>
    </w:div>
    <w:div w:id="856698516">
      <w:bodyDiv w:val="1"/>
      <w:marLeft w:val="0"/>
      <w:marRight w:val="0"/>
      <w:marTop w:val="0"/>
      <w:marBottom w:val="0"/>
      <w:divBdr>
        <w:top w:val="none" w:sz="0" w:space="0" w:color="auto"/>
        <w:left w:val="none" w:sz="0" w:space="0" w:color="auto"/>
        <w:bottom w:val="none" w:sz="0" w:space="0" w:color="auto"/>
        <w:right w:val="none" w:sz="0" w:space="0" w:color="auto"/>
      </w:divBdr>
    </w:div>
    <w:div w:id="866217001">
      <w:bodyDiv w:val="1"/>
      <w:marLeft w:val="0"/>
      <w:marRight w:val="0"/>
      <w:marTop w:val="0"/>
      <w:marBottom w:val="0"/>
      <w:divBdr>
        <w:top w:val="none" w:sz="0" w:space="0" w:color="auto"/>
        <w:left w:val="none" w:sz="0" w:space="0" w:color="auto"/>
        <w:bottom w:val="none" w:sz="0" w:space="0" w:color="auto"/>
        <w:right w:val="none" w:sz="0" w:space="0" w:color="auto"/>
      </w:divBdr>
    </w:div>
    <w:div w:id="901449935">
      <w:bodyDiv w:val="1"/>
      <w:marLeft w:val="0"/>
      <w:marRight w:val="0"/>
      <w:marTop w:val="0"/>
      <w:marBottom w:val="0"/>
      <w:divBdr>
        <w:top w:val="none" w:sz="0" w:space="0" w:color="auto"/>
        <w:left w:val="none" w:sz="0" w:space="0" w:color="auto"/>
        <w:bottom w:val="none" w:sz="0" w:space="0" w:color="auto"/>
        <w:right w:val="none" w:sz="0" w:space="0" w:color="auto"/>
      </w:divBdr>
    </w:div>
    <w:div w:id="921765093">
      <w:bodyDiv w:val="1"/>
      <w:marLeft w:val="0"/>
      <w:marRight w:val="0"/>
      <w:marTop w:val="0"/>
      <w:marBottom w:val="0"/>
      <w:divBdr>
        <w:top w:val="none" w:sz="0" w:space="0" w:color="auto"/>
        <w:left w:val="none" w:sz="0" w:space="0" w:color="auto"/>
        <w:bottom w:val="none" w:sz="0" w:space="0" w:color="auto"/>
        <w:right w:val="none" w:sz="0" w:space="0" w:color="auto"/>
      </w:divBdr>
    </w:div>
    <w:div w:id="952904510">
      <w:bodyDiv w:val="1"/>
      <w:marLeft w:val="0"/>
      <w:marRight w:val="0"/>
      <w:marTop w:val="0"/>
      <w:marBottom w:val="0"/>
      <w:divBdr>
        <w:top w:val="none" w:sz="0" w:space="0" w:color="auto"/>
        <w:left w:val="none" w:sz="0" w:space="0" w:color="auto"/>
        <w:bottom w:val="none" w:sz="0" w:space="0" w:color="auto"/>
        <w:right w:val="none" w:sz="0" w:space="0" w:color="auto"/>
      </w:divBdr>
    </w:div>
    <w:div w:id="970746427">
      <w:bodyDiv w:val="1"/>
      <w:marLeft w:val="0"/>
      <w:marRight w:val="0"/>
      <w:marTop w:val="0"/>
      <w:marBottom w:val="0"/>
      <w:divBdr>
        <w:top w:val="none" w:sz="0" w:space="0" w:color="auto"/>
        <w:left w:val="none" w:sz="0" w:space="0" w:color="auto"/>
        <w:bottom w:val="none" w:sz="0" w:space="0" w:color="auto"/>
        <w:right w:val="none" w:sz="0" w:space="0" w:color="auto"/>
      </w:divBdr>
    </w:div>
    <w:div w:id="977102074">
      <w:bodyDiv w:val="1"/>
      <w:marLeft w:val="0"/>
      <w:marRight w:val="0"/>
      <w:marTop w:val="0"/>
      <w:marBottom w:val="0"/>
      <w:divBdr>
        <w:top w:val="none" w:sz="0" w:space="0" w:color="auto"/>
        <w:left w:val="none" w:sz="0" w:space="0" w:color="auto"/>
        <w:bottom w:val="none" w:sz="0" w:space="0" w:color="auto"/>
        <w:right w:val="none" w:sz="0" w:space="0" w:color="auto"/>
      </w:divBdr>
    </w:div>
    <w:div w:id="1027171220">
      <w:bodyDiv w:val="1"/>
      <w:marLeft w:val="0"/>
      <w:marRight w:val="0"/>
      <w:marTop w:val="0"/>
      <w:marBottom w:val="0"/>
      <w:divBdr>
        <w:top w:val="none" w:sz="0" w:space="0" w:color="auto"/>
        <w:left w:val="none" w:sz="0" w:space="0" w:color="auto"/>
        <w:bottom w:val="none" w:sz="0" w:space="0" w:color="auto"/>
        <w:right w:val="none" w:sz="0" w:space="0" w:color="auto"/>
      </w:divBdr>
    </w:div>
    <w:div w:id="1057782181">
      <w:bodyDiv w:val="1"/>
      <w:marLeft w:val="0"/>
      <w:marRight w:val="0"/>
      <w:marTop w:val="0"/>
      <w:marBottom w:val="0"/>
      <w:divBdr>
        <w:top w:val="none" w:sz="0" w:space="0" w:color="auto"/>
        <w:left w:val="none" w:sz="0" w:space="0" w:color="auto"/>
        <w:bottom w:val="none" w:sz="0" w:space="0" w:color="auto"/>
        <w:right w:val="none" w:sz="0" w:space="0" w:color="auto"/>
      </w:divBdr>
    </w:div>
    <w:div w:id="1059553141">
      <w:bodyDiv w:val="1"/>
      <w:marLeft w:val="0"/>
      <w:marRight w:val="0"/>
      <w:marTop w:val="0"/>
      <w:marBottom w:val="0"/>
      <w:divBdr>
        <w:top w:val="none" w:sz="0" w:space="0" w:color="auto"/>
        <w:left w:val="none" w:sz="0" w:space="0" w:color="auto"/>
        <w:bottom w:val="none" w:sz="0" w:space="0" w:color="auto"/>
        <w:right w:val="none" w:sz="0" w:space="0" w:color="auto"/>
      </w:divBdr>
    </w:div>
    <w:div w:id="1177504381">
      <w:bodyDiv w:val="1"/>
      <w:marLeft w:val="0"/>
      <w:marRight w:val="0"/>
      <w:marTop w:val="0"/>
      <w:marBottom w:val="0"/>
      <w:divBdr>
        <w:top w:val="none" w:sz="0" w:space="0" w:color="auto"/>
        <w:left w:val="none" w:sz="0" w:space="0" w:color="auto"/>
        <w:bottom w:val="none" w:sz="0" w:space="0" w:color="auto"/>
        <w:right w:val="none" w:sz="0" w:space="0" w:color="auto"/>
      </w:divBdr>
    </w:div>
    <w:div w:id="1244998240">
      <w:bodyDiv w:val="1"/>
      <w:marLeft w:val="0"/>
      <w:marRight w:val="0"/>
      <w:marTop w:val="0"/>
      <w:marBottom w:val="0"/>
      <w:divBdr>
        <w:top w:val="none" w:sz="0" w:space="0" w:color="auto"/>
        <w:left w:val="none" w:sz="0" w:space="0" w:color="auto"/>
        <w:bottom w:val="none" w:sz="0" w:space="0" w:color="auto"/>
        <w:right w:val="none" w:sz="0" w:space="0" w:color="auto"/>
      </w:divBdr>
    </w:div>
    <w:div w:id="1333215455">
      <w:bodyDiv w:val="1"/>
      <w:marLeft w:val="0"/>
      <w:marRight w:val="0"/>
      <w:marTop w:val="0"/>
      <w:marBottom w:val="0"/>
      <w:divBdr>
        <w:top w:val="none" w:sz="0" w:space="0" w:color="auto"/>
        <w:left w:val="none" w:sz="0" w:space="0" w:color="auto"/>
        <w:bottom w:val="none" w:sz="0" w:space="0" w:color="auto"/>
        <w:right w:val="none" w:sz="0" w:space="0" w:color="auto"/>
      </w:divBdr>
    </w:div>
    <w:div w:id="1370378223">
      <w:bodyDiv w:val="1"/>
      <w:marLeft w:val="0"/>
      <w:marRight w:val="0"/>
      <w:marTop w:val="0"/>
      <w:marBottom w:val="0"/>
      <w:divBdr>
        <w:top w:val="none" w:sz="0" w:space="0" w:color="auto"/>
        <w:left w:val="none" w:sz="0" w:space="0" w:color="auto"/>
        <w:bottom w:val="none" w:sz="0" w:space="0" w:color="auto"/>
        <w:right w:val="none" w:sz="0" w:space="0" w:color="auto"/>
      </w:divBdr>
    </w:div>
    <w:div w:id="1400981185">
      <w:bodyDiv w:val="1"/>
      <w:marLeft w:val="0"/>
      <w:marRight w:val="0"/>
      <w:marTop w:val="0"/>
      <w:marBottom w:val="0"/>
      <w:divBdr>
        <w:top w:val="none" w:sz="0" w:space="0" w:color="auto"/>
        <w:left w:val="none" w:sz="0" w:space="0" w:color="auto"/>
        <w:bottom w:val="none" w:sz="0" w:space="0" w:color="auto"/>
        <w:right w:val="none" w:sz="0" w:space="0" w:color="auto"/>
      </w:divBdr>
    </w:div>
    <w:div w:id="1429695719">
      <w:bodyDiv w:val="1"/>
      <w:marLeft w:val="0"/>
      <w:marRight w:val="0"/>
      <w:marTop w:val="0"/>
      <w:marBottom w:val="0"/>
      <w:divBdr>
        <w:top w:val="none" w:sz="0" w:space="0" w:color="auto"/>
        <w:left w:val="none" w:sz="0" w:space="0" w:color="auto"/>
        <w:bottom w:val="none" w:sz="0" w:space="0" w:color="auto"/>
        <w:right w:val="none" w:sz="0" w:space="0" w:color="auto"/>
      </w:divBdr>
    </w:div>
    <w:div w:id="1460883211">
      <w:bodyDiv w:val="1"/>
      <w:marLeft w:val="0"/>
      <w:marRight w:val="0"/>
      <w:marTop w:val="0"/>
      <w:marBottom w:val="0"/>
      <w:divBdr>
        <w:top w:val="none" w:sz="0" w:space="0" w:color="auto"/>
        <w:left w:val="none" w:sz="0" w:space="0" w:color="auto"/>
        <w:bottom w:val="none" w:sz="0" w:space="0" w:color="auto"/>
        <w:right w:val="none" w:sz="0" w:space="0" w:color="auto"/>
      </w:divBdr>
    </w:div>
    <w:div w:id="1465611273">
      <w:bodyDiv w:val="1"/>
      <w:marLeft w:val="0"/>
      <w:marRight w:val="0"/>
      <w:marTop w:val="0"/>
      <w:marBottom w:val="0"/>
      <w:divBdr>
        <w:top w:val="none" w:sz="0" w:space="0" w:color="auto"/>
        <w:left w:val="none" w:sz="0" w:space="0" w:color="auto"/>
        <w:bottom w:val="none" w:sz="0" w:space="0" w:color="auto"/>
        <w:right w:val="none" w:sz="0" w:space="0" w:color="auto"/>
      </w:divBdr>
    </w:div>
    <w:div w:id="1513299344">
      <w:bodyDiv w:val="1"/>
      <w:marLeft w:val="0"/>
      <w:marRight w:val="0"/>
      <w:marTop w:val="0"/>
      <w:marBottom w:val="0"/>
      <w:divBdr>
        <w:top w:val="none" w:sz="0" w:space="0" w:color="auto"/>
        <w:left w:val="none" w:sz="0" w:space="0" w:color="auto"/>
        <w:bottom w:val="none" w:sz="0" w:space="0" w:color="auto"/>
        <w:right w:val="none" w:sz="0" w:space="0" w:color="auto"/>
      </w:divBdr>
    </w:div>
    <w:div w:id="1695570643">
      <w:bodyDiv w:val="1"/>
      <w:marLeft w:val="0"/>
      <w:marRight w:val="0"/>
      <w:marTop w:val="0"/>
      <w:marBottom w:val="0"/>
      <w:divBdr>
        <w:top w:val="none" w:sz="0" w:space="0" w:color="auto"/>
        <w:left w:val="none" w:sz="0" w:space="0" w:color="auto"/>
        <w:bottom w:val="none" w:sz="0" w:space="0" w:color="auto"/>
        <w:right w:val="none" w:sz="0" w:space="0" w:color="auto"/>
      </w:divBdr>
    </w:div>
    <w:div w:id="1717662992">
      <w:bodyDiv w:val="1"/>
      <w:marLeft w:val="0"/>
      <w:marRight w:val="0"/>
      <w:marTop w:val="0"/>
      <w:marBottom w:val="0"/>
      <w:divBdr>
        <w:top w:val="none" w:sz="0" w:space="0" w:color="auto"/>
        <w:left w:val="none" w:sz="0" w:space="0" w:color="auto"/>
        <w:bottom w:val="none" w:sz="0" w:space="0" w:color="auto"/>
        <w:right w:val="none" w:sz="0" w:space="0" w:color="auto"/>
      </w:divBdr>
    </w:div>
    <w:div w:id="1731613819">
      <w:bodyDiv w:val="1"/>
      <w:marLeft w:val="0"/>
      <w:marRight w:val="0"/>
      <w:marTop w:val="0"/>
      <w:marBottom w:val="0"/>
      <w:divBdr>
        <w:top w:val="none" w:sz="0" w:space="0" w:color="auto"/>
        <w:left w:val="none" w:sz="0" w:space="0" w:color="auto"/>
        <w:bottom w:val="none" w:sz="0" w:space="0" w:color="auto"/>
        <w:right w:val="none" w:sz="0" w:space="0" w:color="auto"/>
      </w:divBdr>
    </w:div>
    <w:div w:id="1793938159">
      <w:bodyDiv w:val="1"/>
      <w:marLeft w:val="0"/>
      <w:marRight w:val="0"/>
      <w:marTop w:val="0"/>
      <w:marBottom w:val="0"/>
      <w:divBdr>
        <w:top w:val="none" w:sz="0" w:space="0" w:color="auto"/>
        <w:left w:val="none" w:sz="0" w:space="0" w:color="auto"/>
        <w:bottom w:val="none" w:sz="0" w:space="0" w:color="auto"/>
        <w:right w:val="none" w:sz="0" w:space="0" w:color="auto"/>
      </w:divBdr>
    </w:div>
    <w:div w:id="1883667369">
      <w:bodyDiv w:val="1"/>
      <w:marLeft w:val="0"/>
      <w:marRight w:val="0"/>
      <w:marTop w:val="0"/>
      <w:marBottom w:val="0"/>
      <w:divBdr>
        <w:top w:val="none" w:sz="0" w:space="0" w:color="auto"/>
        <w:left w:val="none" w:sz="0" w:space="0" w:color="auto"/>
        <w:bottom w:val="none" w:sz="0" w:space="0" w:color="auto"/>
        <w:right w:val="none" w:sz="0" w:space="0" w:color="auto"/>
      </w:divBdr>
    </w:div>
    <w:div w:id="1912737129">
      <w:bodyDiv w:val="1"/>
      <w:marLeft w:val="0"/>
      <w:marRight w:val="0"/>
      <w:marTop w:val="0"/>
      <w:marBottom w:val="0"/>
      <w:divBdr>
        <w:top w:val="none" w:sz="0" w:space="0" w:color="auto"/>
        <w:left w:val="none" w:sz="0" w:space="0" w:color="auto"/>
        <w:bottom w:val="none" w:sz="0" w:space="0" w:color="auto"/>
        <w:right w:val="none" w:sz="0" w:space="0" w:color="auto"/>
      </w:divBdr>
    </w:div>
    <w:div w:id="2007512464">
      <w:bodyDiv w:val="1"/>
      <w:marLeft w:val="0"/>
      <w:marRight w:val="0"/>
      <w:marTop w:val="0"/>
      <w:marBottom w:val="0"/>
      <w:divBdr>
        <w:top w:val="none" w:sz="0" w:space="0" w:color="auto"/>
        <w:left w:val="none" w:sz="0" w:space="0" w:color="auto"/>
        <w:bottom w:val="none" w:sz="0" w:space="0" w:color="auto"/>
        <w:right w:val="none" w:sz="0" w:space="0" w:color="auto"/>
      </w:divBdr>
    </w:div>
    <w:div w:id="2066026596">
      <w:bodyDiv w:val="1"/>
      <w:marLeft w:val="0"/>
      <w:marRight w:val="0"/>
      <w:marTop w:val="0"/>
      <w:marBottom w:val="0"/>
      <w:divBdr>
        <w:top w:val="none" w:sz="0" w:space="0" w:color="auto"/>
        <w:left w:val="none" w:sz="0" w:space="0" w:color="auto"/>
        <w:bottom w:val="none" w:sz="0" w:space="0" w:color="auto"/>
        <w:right w:val="none" w:sz="0" w:space="0" w:color="auto"/>
      </w:divBdr>
    </w:div>
    <w:div w:id="20793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E67A-4D2E-4AB0-8DC8-16A5ACB6D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5BA7C-2DF2-4E8F-9136-2A361317D7C9}">
  <ds:schemaRefs>
    <ds:schemaRef ds:uri="http://schemas.microsoft.com/sharepoint/v3/contenttype/forms"/>
  </ds:schemaRefs>
</ds:datastoreItem>
</file>

<file path=customXml/itemProps3.xml><?xml version="1.0" encoding="utf-8"?>
<ds:datastoreItem xmlns:ds="http://schemas.openxmlformats.org/officeDocument/2006/customXml" ds:itemID="{A889D9BE-943F-4768-B676-F1D32C69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A88AE-F937-4057-9C2D-51E39216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4775</Words>
  <Characters>2723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2021-12-22T14:17:00Z</dcterms:created>
  <dcterms:modified xsi:type="dcterms:W3CDTF">2021-12-22T14:17:00Z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