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32"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103"/>
      </w:tblGrid>
      <w:tr w:rsidR="008F38CB" w:rsidRPr="00AD7F82" w:rsidTr="009F2782">
        <w:tc>
          <w:tcPr>
            <w:tcW w:w="10632" w:type="dxa"/>
            <w:tcBorders>
              <w:top w:val="nil"/>
              <w:left w:val="nil"/>
              <w:bottom w:val="nil"/>
              <w:right w:val="nil"/>
            </w:tcBorders>
          </w:tcPr>
          <w:tbl>
            <w:tblPr>
              <w:tblW w:w="103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381"/>
            </w:tblGrid>
            <w:tr w:rsidR="008F38CB" w:rsidRPr="00F178F2" w:rsidTr="006D4AB4">
              <w:tc>
                <w:tcPr>
                  <w:tcW w:w="10381" w:type="dxa"/>
                  <w:tcBorders>
                    <w:top w:val="nil"/>
                    <w:left w:val="nil"/>
                    <w:bottom w:val="nil"/>
                    <w:right w:val="nil"/>
                  </w:tcBorders>
                </w:tcPr>
                <w:p w:rsidR="008F38CB" w:rsidRPr="00F178F2" w:rsidRDefault="008F38CB" w:rsidP="008F38CB">
                  <w:pPr>
                    <w:rPr>
                      <w:rFonts w:eastAsia="Calibri"/>
                      <w:color w:val="002060"/>
                      <w:sz w:val="32"/>
                      <w:szCs w:val="32"/>
                      <w:lang w:eastAsia="en-US"/>
                    </w:rPr>
                  </w:pPr>
                  <w:r w:rsidRPr="00F178F2">
                    <w:rPr>
                      <w:rFonts w:ascii="Calibri" w:eastAsia="Calibri" w:hAnsi="Calibri"/>
                      <w:noProof/>
                      <w:spacing w:val="20"/>
                      <w:sz w:val="34"/>
                      <w:szCs w:val="34"/>
                      <w:lang w:eastAsia="uk-UA"/>
                    </w:rPr>
                    <w:drawing>
                      <wp:anchor distT="360045" distB="0" distL="114300" distR="114300" simplePos="0" relativeHeight="251661312" behindDoc="0" locked="0" layoutInCell="1" allowOverlap="1" wp14:anchorId="50791771" wp14:editId="50853460">
                        <wp:simplePos x="0" y="0"/>
                        <wp:positionH relativeFrom="margin">
                          <wp:posOffset>3032125</wp:posOffset>
                        </wp:positionH>
                        <wp:positionV relativeFrom="paragraph">
                          <wp:posOffset>38100</wp:posOffset>
                        </wp:positionV>
                        <wp:extent cx="461010" cy="636905"/>
                        <wp:effectExtent l="0" t="0" r="0" b="0"/>
                        <wp:wrapSquare wrapText="bothSides"/>
                        <wp:docPr id="6"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1010" cy="636905"/>
                                </a:xfrm>
                                <a:prstGeom prst="rect">
                                  <a:avLst/>
                                </a:prstGeom>
                                <a:noFill/>
                              </pic:spPr>
                            </pic:pic>
                          </a:graphicData>
                        </a:graphic>
                        <wp14:sizeRelH relativeFrom="page">
                          <wp14:pctWidth>0</wp14:pctWidth>
                        </wp14:sizeRelH>
                        <wp14:sizeRelV relativeFrom="page">
                          <wp14:pctHeight>0</wp14:pctHeight>
                        </wp14:sizeRelV>
                      </wp:anchor>
                    </w:drawing>
                  </w:r>
                </w:p>
                <w:p w:rsidR="008F38CB" w:rsidRPr="00F178F2" w:rsidRDefault="008F38CB" w:rsidP="008F38CB">
                  <w:pPr>
                    <w:rPr>
                      <w:rFonts w:eastAsia="Calibri"/>
                      <w:color w:val="002060"/>
                      <w:sz w:val="32"/>
                      <w:szCs w:val="32"/>
                      <w:lang w:eastAsia="en-US"/>
                    </w:rPr>
                  </w:pPr>
                </w:p>
                <w:p w:rsidR="008F38CB" w:rsidRPr="00F178F2" w:rsidRDefault="008F38CB" w:rsidP="008F38CB">
                  <w:pPr>
                    <w:rPr>
                      <w:rFonts w:eastAsia="Calibri"/>
                      <w:color w:val="002060"/>
                      <w:sz w:val="32"/>
                      <w:szCs w:val="32"/>
                      <w:lang w:eastAsia="en-US"/>
                    </w:rPr>
                  </w:pPr>
                </w:p>
                <w:p w:rsidR="008F38CB" w:rsidRPr="00F178F2" w:rsidRDefault="008F38CB" w:rsidP="008F38CB">
                  <w:pPr>
                    <w:spacing w:before="80"/>
                    <w:jc w:val="center"/>
                    <w:rPr>
                      <w:rFonts w:eastAsia="Calibri"/>
                      <w:color w:val="1829A8"/>
                      <w:spacing w:val="20"/>
                      <w:sz w:val="34"/>
                      <w:szCs w:val="34"/>
                      <w:lang w:eastAsia="en-US"/>
                    </w:rPr>
                  </w:pPr>
                  <w:r w:rsidRPr="00F178F2">
                    <w:rPr>
                      <w:rFonts w:eastAsia="Calibri"/>
                      <w:color w:val="1829A8"/>
                      <w:spacing w:val="20"/>
                      <w:sz w:val="34"/>
                      <w:szCs w:val="34"/>
                      <w:lang w:eastAsia="en-US"/>
                    </w:rPr>
                    <w:t>ВЕРХОВНА РАДА УКРАЇНИ</w:t>
                  </w:r>
                </w:p>
                <w:p w:rsidR="008F38CB" w:rsidRPr="00F178F2" w:rsidRDefault="008F38CB" w:rsidP="008F38CB">
                  <w:pPr>
                    <w:spacing w:before="100"/>
                    <w:jc w:val="center"/>
                    <w:rPr>
                      <w:rFonts w:eastAsia="Calibri"/>
                      <w:b/>
                      <w:color w:val="1829A8"/>
                      <w:spacing w:val="20"/>
                      <w:lang w:eastAsia="en-US"/>
                    </w:rPr>
                  </w:pPr>
                  <w:r w:rsidRPr="00F178F2">
                    <w:rPr>
                      <w:rFonts w:eastAsia="Calibri"/>
                      <w:b/>
                      <w:color w:val="1829A8"/>
                      <w:spacing w:val="20"/>
                      <w:lang w:eastAsia="en-US"/>
                    </w:rPr>
                    <w:t>Комітет з питань бюджету</w:t>
                  </w:r>
                </w:p>
                <w:p w:rsidR="008F38CB" w:rsidRPr="00F178F2" w:rsidRDefault="008F38CB" w:rsidP="008F38CB">
                  <w:pPr>
                    <w:spacing w:before="160" w:after="60"/>
                    <w:jc w:val="center"/>
                    <w:rPr>
                      <w:rFonts w:ascii="Calibri" w:eastAsia="Calibri" w:hAnsi="Calibri"/>
                      <w:color w:val="002060"/>
                      <w:sz w:val="20"/>
                      <w:szCs w:val="20"/>
                      <w:lang w:eastAsia="en-US"/>
                    </w:rPr>
                  </w:pPr>
                  <w:r w:rsidRPr="00F178F2">
                    <w:rPr>
                      <w:rFonts w:eastAsia="Calibri"/>
                      <w:color w:val="1829A8"/>
                      <w:sz w:val="20"/>
                      <w:szCs w:val="20"/>
                      <w:lang w:eastAsia="en-US"/>
                    </w:rPr>
                    <w:t xml:space="preserve">01008, м.Київ-8, вул. М. Грушевського, 5, </w:t>
                  </w:r>
                  <w:proofErr w:type="spellStart"/>
                  <w:r w:rsidRPr="00F178F2">
                    <w:rPr>
                      <w:rFonts w:eastAsia="Calibri"/>
                      <w:color w:val="1829A8"/>
                      <w:sz w:val="20"/>
                      <w:szCs w:val="20"/>
                      <w:lang w:eastAsia="en-US"/>
                    </w:rPr>
                    <w:t>тел</w:t>
                  </w:r>
                  <w:proofErr w:type="spellEnd"/>
                  <w:r w:rsidRPr="00F178F2">
                    <w:rPr>
                      <w:rFonts w:eastAsia="Calibri"/>
                      <w:color w:val="1829A8"/>
                      <w:sz w:val="20"/>
                      <w:szCs w:val="20"/>
                      <w:lang w:eastAsia="en-US"/>
                    </w:rPr>
                    <w:t>.: 255-40-29, 255-43-61, факс: 255-41-23</w:t>
                  </w:r>
                </w:p>
              </w:tc>
            </w:tr>
          </w:tbl>
          <w:tbl>
            <w:tblPr>
              <w:tblStyle w:val="a8"/>
              <w:tblW w:w="11887" w:type="dxa"/>
              <w:tblBorders>
                <w:top w:val="thinThickMediumGap" w:sz="12" w:space="0" w:color="0033CC"/>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
              <w:gridCol w:w="9781"/>
              <w:gridCol w:w="1648"/>
            </w:tblGrid>
            <w:tr w:rsidR="008F38CB" w:rsidRPr="00F178F2" w:rsidTr="006D4AB4">
              <w:tc>
                <w:tcPr>
                  <w:tcW w:w="458" w:type="dxa"/>
                  <w:tcBorders>
                    <w:top w:val="nil"/>
                  </w:tcBorders>
                </w:tcPr>
                <w:p w:rsidR="008F38CB" w:rsidRPr="00F178F2" w:rsidRDefault="008F38CB" w:rsidP="008F38CB">
                  <w:pPr>
                    <w:rPr>
                      <w:color w:val="002060"/>
                      <w:sz w:val="20"/>
                      <w:szCs w:val="20"/>
                      <w:lang w:val="uk-UA" w:eastAsia="en-US"/>
                    </w:rPr>
                  </w:pPr>
                </w:p>
              </w:tc>
              <w:tc>
                <w:tcPr>
                  <w:tcW w:w="9781" w:type="dxa"/>
                </w:tcPr>
                <w:p w:rsidR="008F38CB" w:rsidRPr="00F178F2" w:rsidRDefault="008F38CB" w:rsidP="008F38CB">
                  <w:pPr>
                    <w:rPr>
                      <w:color w:val="002060"/>
                      <w:sz w:val="20"/>
                      <w:szCs w:val="20"/>
                      <w:lang w:val="uk-UA" w:eastAsia="en-US"/>
                    </w:rPr>
                  </w:pPr>
                </w:p>
              </w:tc>
              <w:tc>
                <w:tcPr>
                  <w:tcW w:w="1648" w:type="dxa"/>
                  <w:tcBorders>
                    <w:top w:val="nil"/>
                  </w:tcBorders>
                </w:tcPr>
                <w:p w:rsidR="008F38CB" w:rsidRPr="00F178F2" w:rsidRDefault="008F38CB" w:rsidP="008F38CB">
                  <w:pPr>
                    <w:rPr>
                      <w:color w:val="002060"/>
                      <w:sz w:val="20"/>
                      <w:szCs w:val="20"/>
                      <w:lang w:val="uk-UA" w:eastAsia="en-US"/>
                    </w:rPr>
                  </w:pPr>
                </w:p>
              </w:tc>
            </w:tr>
          </w:tbl>
          <w:p w:rsidR="008F38CB" w:rsidRDefault="008F38CB" w:rsidP="008F38CB"/>
        </w:tc>
      </w:tr>
    </w:tbl>
    <w:p w:rsidR="00344F88" w:rsidRPr="001712A5" w:rsidRDefault="00344F88" w:rsidP="00344F88">
      <w:pPr>
        <w:ind w:left="5387"/>
        <w:rPr>
          <w:b/>
          <w:szCs w:val="28"/>
        </w:rPr>
      </w:pPr>
      <w:bookmarkStart w:id="0" w:name="_GoBack"/>
      <w:bookmarkEnd w:id="0"/>
      <w:r w:rsidRPr="001712A5">
        <w:rPr>
          <w:b/>
          <w:szCs w:val="28"/>
        </w:rPr>
        <w:t>Комітет Верховної Ради</w:t>
      </w:r>
      <w:r w:rsidR="00D53457" w:rsidRPr="001712A5">
        <w:rPr>
          <w:b/>
          <w:szCs w:val="28"/>
        </w:rPr>
        <w:t xml:space="preserve"> України</w:t>
      </w:r>
      <w:r w:rsidRPr="001712A5">
        <w:rPr>
          <w:b/>
          <w:szCs w:val="28"/>
        </w:rPr>
        <w:t xml:space="preserve"> </w:t>
      </w:r>
    </w:p>
    <w:p w:rsidR="00344F88" w:rsidRPr="001712A5" w:rsidRDefault="00344F88" w:rsidP="00344F88">
      <w:pPr>
        <w:ind w:left="5387"/>
        <w:rPr>
          <w:b/>
          <w:szCs w:val="28"/>
        </w:rPr>
      </w:pPr>
      <w:r w:rsidRPr="001712A5">
        <w:rPr>
          <w:b/>
          <w:szCs w:val="28"/>
        </w:rPr>
        <w:t xml:space="preserve">з питань соціальної  політики та </w:t>
      </w:r>
    </w:p>
    <w:p w:rsidR="00D53457" w:rsidRPr="001712A5" w:rsidRDefault="00344F88" w:rsidP="00344F88">
      <w:pPr>
        <w:ind w:left="5387"/>
        <w:rPr>
          <w:b/>
          <w:szCs w:val="28"/>
        </w:rPr>
      </w:pPr>
      <w:r w:rsidRPr="001712A5">
        <w:rPr>
          <w:b/>
          <w:szCs w:val="28"/>
        </w:rPr>
        <w:t>захисту прав ветеранів</w:t>
      </w:r>
    </w:p>
    <w:p w:rsidR="0084601D" w:rsidRPr="001712A5" w:rsidRDefault="005D7A27" w:rsidP="0084601D">
      <w:pPr>
        <w:pStyle w:val="a3"/>
        <w:jc w:val="left"/>
        <w:rPr>
          <w:bCs/>
          <w:i/>
          <w:iCs/>
          <w:szCs w:val="28"/>
        </w:rPr>
      </w:pPr>
      <w:r w:rsidRPr="001712A5">
        <w:rPr>
          <w:bCs/>
          <w:i/>
          <w:iCs/>
          <w:szCs w:val="28"/>
        </w:rPr>
        <w:t>Про розгляд законопроект</w:t>
      </w:r>
      <w:r w:rsidR="00D53457" w:rsidRPr="001712A5">
        <w:rPr>
          <w:bCs/>
          <w:i/>
          <w:iCs/>
          <w:szCs w:val="28"/>
        </w:rPr>
        <w:t>у</w:t>
      </w:r>
    </w:p>
    <w:p w:rsidR="0016270A" w:rsidRPr="001712A5" w:rsidRDefault="0016270A" w:rsidP="0016270A">
      <w:pPr>
        <w:rPr>
          <w:b/>
          <w:i/>
          <w:szCs w:val="28"/>
        </w:rPr>
      </w:pPr>
      <w:r w:rsidRPr="001712A5">
        <w:rPr>
          <w:b/>
          <w:i/>
          <w:szCs w:val="28"/>
        </w:rPr>
        <w:t>№</w:t>
      </w:r>
      <w:r w:rsidR="00C0505F" w:rsidRPr="001712A5">
        <w:rPr>
          <w:b/>
          <w:i/>
          <w:szCs w:val="28"/>
        </w:rPr>
        <w:t xml:space="preserve"> </w:t>
      </w:r>
      <w:r w:rsidR="00344F88" w:rsidRPr="001712A5">
        <w:rPr>
          <w:b/>
          <w:i/>
          <w:szCs w:val="28"/>
        </w:rPr>
        <w:t>64</w:t>
      </w:r>
      <w:r w:rsidR="00935703" w:rsidRPr="001712A5">
        <w:rPr>
          <w:b/>
          <w:i/>
          <w:szCs w:val="28"/>
        </w:rPr>
        <w:t>67</w:t>
      </w:r>
      <w:r w:rsidRPr="001712A5">
        <w:rPr>
          <w:b/>
          <w:i/>
          <w:szCs w:val="28"/>
        </w:rPr>
        <w:t xml:space="preserve"> від</w:t>
      </w:r>
      <w:r w:rsidR="006D0434" w:rsidRPr="001712A5">
        <w:rPr>
          <w:b/>
          <w:i/>
          <w:szCs w:val="28"/>
        </w:rPr>
        <w:t xml:space="preserve"> </w:t>
      </w:r>
      <w:r w:rsidR="00935703" w:rsidRPr="001712A5">
        <w:rPr>
          <w:b/>
          <w:i/>
          <w:szCs w:val="28"/>
        </w:rPr>
        <w:t>24</w:t>
      </w:r>
      <w:r w:rsidRPr="001712A5">
        <w:rPr>
          <w:b/>
          <w:i/>
          <w:szCs w:val="28"/>
        </w:rPr>
        <w:t>.</w:t>
      </w:r>
      <w:r w:rsidR="002C398C" w:rsidRPr="001712A5">
        <w:rPr>
          <w:b/>
          <w:i/>
          <w:szCs w:val="28"/>
        </w:rPr>
        <w:t>1</w:t>
      </w:r>
      <w:r w:rsidR="007F0289" w:rsidRPr="001712A5">
        <w:rPr>
          <w:b/>
          <w:i/>
          <w:szCs w:val="28"/>
        </w:rPr>
        <w:t>2</w:t>
      </w:r>
      <w:r w:rsidRPr="001712A5">
        <w:rPr>
          <w:b/>
          <w:i/>
          <w:szCs w:val="28"/>
        </w:rPr>
        <w:t>.20</w:t>
      </w:r>
      <w:r w:rsidR="00B63EC6" w:rsidRPr="001712A5">
        <w:rPr>
          <w:b/>
          <w:i/>
          <w:szCs w:val="28"/>
        </w:rPr>
        <w:t>2</w:t>
      </w:r>
      <w:r w:rsidR="007F0289" w:rsidRPr="001712A5">
        <w:rPr>
          <w:b/>
          <w:i/>
          <w:szCs w:val="28"/>
        </w:rPr>
        <w:t>1</w:t>
      </w:r>
      <w:r w:rsidRPr="001712A5">
        <w:rPr>
          <w:b/>
          <w:i/>
          <w:szCs w:val="28"/>
        </w:rPr>
        <w:t xml:space="preserve"> </w:t>
      </w:r>
    </w:p>
    <w:p w:rsidR="0016270A" w:rsidRPr="001712A5" w:rsidRDefault="0016270A" w:rsidP="0084601D">
      <w:pPr>
        <w:pStyle w:val="a3"/>
        <w:jc w:val="left"/>
        <w:rPr>
          <w:bCs/>
          <w:i/>
          <w:iCs/>
          <w:szCs w:val="28"/>
        </w:rPr>
      </w:pPr>
    </w:p>
    <w:p w:rsidR="00344F88" w:rsidRPr="001712A5" w:rsidRDefault="009B10C9" w:rsidP="001712A5">
      <w:pPr>
        <w:ind w:firstLine="709"/>
        <w:jc w:val="both"/>
        <w:rPr>
          <w:szCs w:val="28"/>
        </w:rPr>
      </w:pPr>
      <w:r w:rsidRPr="001712A5">
        <w:rPr>
          <w:szCs w:val="28"/>
        </w:rPr>
        <w:t>Комітет Верховної Ради України з питань бюджету на</w:t>
      </w:r>
      <w:r w:rsidR="00344F88" w:rsidRPr="001712A5">
        <w:rPr>
          <w:szCs w:val="28"/>
        </w:rPr>
        <w:t xml:space="preserve"> засіданні від </w:t>
      </w:r>
      <w:r w:rsidR="004B7286">
        <w:rPr>
          <w:szCs w:val="28"/>
        </w:rPr>
        <w:t xml:space="preserve">26 січня </w:t>
      </w:r>
      <w:r w:rsidR="00344F88" w:rsidRPr="001712A5">
        <w:rPr>
          <w:szCs w:val="28"/>
        </w:rPr>
        <w:t>2022 року (протокол № </w:t>
      </w:r>
      <w:r w:rsidR="004B7286">
        <w:rPr>
          <w:szCs w:val="28"/>
        </w:rPr>
        <w:t>114</w:t>
      </w:r>
      <w:r w:rsidR="00344F88" w:rsidRPr="001712A5">
        <w:rPr>
          <w:szCs w:val="28"/>
        </w:rPr>
        <w:t xml:space="preserve">) відповідно до статей 27 і 109 Бюджетного кодексу України та статті 93 Регламенту Верховної Ради України розглянув проект закону </w:t>
      </w:r>
      <w:r w:rsidR="00935703" w:rsidRPr="001712A5">
        <w:rPr>
          <w:szCs w:val="28"/>
        </w:rPr>
        <w:t>про внесення змін до статті 2 Закону України «Про встановлення державної допомоги постраждалим учасникам масових акцій громадського протесту та членам їх сімей» щодо уточнення терміну «масові акції громадського протесту»</w:t>
      </w:r>
      <w:r w:rsidR="00344F88" w:rsidRPr="001712A5">
        <w:rPr>
          <w:szCs w:val="28"/>
        </w:rPr>
        <w:t xml:space="preserve"> (реєстр. № 64</w:t>
      </w:r>
      <w:r w:rsidR="00935703" w:rsidRPr="001712A5">
        <w:rPr>
          <w:szCs w:val="28"/>
        </w:rPr>
        <w:t>67</w:t>
      </w:r>
      <w:r w:rsidR="00344F88" w:rsidRPr="001712A5">
        <w:rPr>
          <w:szCs w:val="28"/>
        </w:rPr>
        <w:t xml:space="preserve"> від </w:t>
      </w:r>
      <w:r w:rsidR="00935703" w:rsidRPr="001712A5">
        <w:rPr>
          <w:szCs w:val="28"/>
        </w:rPr>
        <w:t>24</w:t>
      </w:r>
      <w:r w:rsidR="00344F88" w:rsidRPr="001712A5">
        <w:rPr>
          <w:szCs w:val="28"/>
        </w:rPr>
        <w:t xml:space="preserve">.12.2021), поданий народними депутатами України </w:t>
      </w:r>
      <w:r w:rsidR="00935703" w:rsidRPr="001712A5">
        <w:rPr>
          <w:szCs w:val="28"/>
        </w:rPr>
        <w:t xml:space="preserve">Мезенцевою М.С. </w:t>
      </w:r>
      <w:r w:rsidR="00344F88" w:rsidRPr="001712A5">
        <w:rPr>
          <w:szCs w:val="28"/>
        </w:rPr>
        <w:t xml:space="preserve">та іншими, і повідомляється наступне. </w:t>
      </w:r>
    </w:p>
    <w:p w:rsidR="00342B7F" w:rsidRPr="001712A5" w:rsidRDefault="00935703" w:rsidP="001712A5">
      <w:pPr>
        <w:ind w:firstLine="709"/>
        <w:jc w:val="both"/>
        <w:rPr>
          <w:szCs w:val="28"/>
        </w:rPr>
      </w:pPr>
      <w:r w:rsidRPr="001712A5">
        <w:rPr>
          <w:szCs w:val="28"/>
        </w:rPr>
        <w:t>Проектом закону пропонується змінити визначений статтею 2 Закону України</w:t>
      </w:r>
      <w:r w:rsidR="00342B7F" w:rsidRPr="001712A5">
        <w:rPr>
          <w:szCs w:val="28"/>
        </w:rPr>
        <w:t xml:space="preserve"> від </w:t>
      </w:r>
      <w:r w:rsidR="00342B7F" w:rsidRPr="001712A5">
        <w:rPr>
          <w:bCs/>
          <w:szCs w:val="28"/>
        </w:rPr>
        <w:t>21 лютого 2014 року № 745-VII</w:t>
      </w:r>
      <w:r w:rsidRPr="001712A5">
        <w:rPr>
          <w:szCs w:val="28"/>
        </w:rPr>
        <w:t xml:space="preserve"> «Про встановлення державної допомоги постраждалим учасникам масових акцій громадського протесту та членам їх сімей» термін проведення масових акцій громадського протесту</w:t>
      </w:r>
      <w:r w:rsidR="00C20ADA">
        <w:rPr>
          <w:szCs w:val="28"/>
        </w:rPr>
        <w:t xml:space="preserve"> та встановити</w:t>
      </w:r>
      <w:r w:rsidRPr="001712A5">
        <w:rPr>
          <w:szCs w:val="28"/>
        </w:rPr>
        <w:t xml:space="preserve"> – з 21</w:t>
      </w:r>
      <w:r w:rsidR="00342B7F" w:rsidRPr="001712A5">
        <w:rPr>
          <w:szCs w:val="28"/>
        </w:rPr>
        <w:t> </w:t>
      </w:r>
      <w:r w:rsidRPr="001712A5">
        <w:rPr>
          <w:szCs w:val="28"/>
        </w:rPr>
        <w:t xml:space="preserve">листопада 2013 року </w:t>
      </w:r>
      <w:r w:rsidRPr="001712A5">
        <w:rPr>
          <w:szCs w:val="28"/>
          <w:u w:val="single"/>
        </w:rPr>
        <w:t>по 3 травня 2014 року</w:t>
      </w:r>
      <w:r w:rsidR="00342B7F" w:rsidRPr="001712A5">
        <w:rPr>
          <w:szCs w:val="28"/>
          <w:u w:val="single"/>
        </w:rPr>
        <w:t>.</w:t>
      </w:r>
      <w:r w:rsidRPr="001712A5">
        <w:rPr>
          <w:szCs w:val="28"/>
        </w:rPr>
        <w:t xml:space="preserve"> </w:t>
      </w:r>
    </w:p>
    <w:p w:rsidR="00935703" w:rsidRPr="001712A5" w:rsidRDefault="00342B7F" w:rsidP="001712A5">
      <w:pPr>
        <w:ind w:firstLine="709"/>
        <w:jc w:val="both"/>
        <w:rPr>
          <w:szCs w:val="28"/>
        </w:rPr>
      </w:pPr>
      <w:r w:rsidRPr="001712A5">
        <w:rPr>
          <w:szCs w:val="28"/>
        </w:rPr>
        <w:t>З</w:t>
      </w:r>
      <w:r w:rsidR="00935703" w:rsidRPr="001712A5">
        <w:rPr>
          <w:szCs w:val="28"/>
        </w:rPr>
        <w:t>гідно з чинною редакцією</w:t>
      </w:r>
      <w:r w:rsidRPr="001712A5">
        <w:rPr>
          <w:szCs w:val="28"/>
        </w:rPr>
        <w:t xml:space="preserve"> статті 2 вказаного Закону</w:t>
      </w:r>
      <w:r w:rsidR="00935703" w:rsidRPr="001712A5">
        <w:rPr>
          <w:szCs w:val="28"/>
        </w:rPr>
        <w:t xml:space="preserve"> </w:t>
      </w:r>
      <w:r w:rsidRPr="001712A5">
        <w:rPr>
          <w:szCs w:val="28"/>
        </w:rPr>
        <w:t>масов</w:t>
      </w:r>
      <w:r w:rsidR="001712A5">
        <w:rPr>
          <w:szCs w:val="28"/>
        </w:rPr>
        <w:t>і</w:t>
      </w:r>
      <w:r w:rsidRPr="001712A5">
        <w:rPr>
          <w:szCs w:val="28"/>
        </w:rPr>
        <w:t xml:space="preserve"> акці</w:t>
      </w:r>
      <w:r w:rsidR="001712A5">
        <w:rPr>
          <w:szCs w:val="28"/>
        </w:rPr>
        <w:t>ї</w:t>
      </w:r>
      <w:r w:rsidRPr="001712A5">
        <w:rPr>
          <w:szCs w:val="28"/>
        </w:rPr>
        <w:t xml:space="preserve"> громадського протесту</w:t>
      </w:r>
      <w:r w:rsidR="001712A5">
        <w:rPr>
          <w:szCs w:val="28"/>
        </w:rPr>
        <w:t xml:space="preserve"> – це масові акції громадського протесту, що розпочалися в Україні </w:t>
      </w:r>
      <w:r w:rsidR="00935703" w:rsidRPr="001712A5">
        <w:rPr>
          <w:szCs w:val="28"/>
        </w:rPr>
        <w:t xml:space="preserve"> 21 листопада 2013 року</w:t>
      </w:r>
      <w:r w:rsidRPr="001712A5">
        <w:rPr>
          <w:szCs w:val="28"/>
        </w:rPr>
        <w:t xml:space="preserve"> </w:t>
      </w:r>
      <w:r w:rsidR="00935703" w:rsidRPr="001712A5">
        <w:rPr>
          <w:szCs w:val="28"/>
        </w:rPr>
        <w:t xml:space="preserve"> </w:t>
      </w:r>
      <w:r w:rsidRPr="001712A5">
        <w:rPr>
          <w:szCs w:val="28"/>
        </w:rPr>
        <w:t xml:space="preserve">та продовжують тривати на час прийняття цього Закону, </w:t>
      </w:r>
      <w:r w:rsidRPr="001712A5">
        <w:rPr>
          <w:szCs w:val="28"/>
          <w:u w:val="single"/>
        </w:rPr>
        <w:t xml:space="preserve">тобто </w:t>
      </w:r>
      <w:r w:rsidR="00935703" w:rsidRPr="001712A5">
        <w:rPr>
          <w:szCs w:val="28"/>
          <w:u w:val="single"/>
        </w:rPr>
        <w:t>по 21 лютого 2014 року</w:t>
      </w:r>
      <w:r w:rsidR="00935703" w:rsidRPr="001712A5">
        <w:rPr>
          <w:szCs w:val="28"/>
        </w:rPr>
        <w:t>.</w:t>
      </w:r>
    </w:p>
    <w:p w:rsidR="00C20ADA" w:rsidRPr="00C20ADA" w:rsidRDefault="00C20ADA" w:rsidP="001712A5">
      <w:pPr>
        <w:ind w:firstLine="709"/>
        <w:jc w:val="both"/>
        <w:rPr>
          <w:szCs w:val="28"/>
        </w:rPr>
      </w:pPr>
      <w:r>
        <w:rPr>
          <w:szCs w:val="28"/>
        </w:rPr>
        <w:t>Слід зазначити, що відповідно до статті 5 зазначеного Закону п</w:t>
      </w:r>
      <w:r w:rsidRPr="00C20ADA">
        <w:rPr>
          <w:szCs w:val="28"/>
        </w:rPr>
        <w:t xml:space="preserve">окриття витрат на виплату державної допомоги постраждалим учасникам масових акцій громадського протесту та членам їх сімей здійснюється із резервного фонду </w:t>
      </w:r>
      <w:r>
        <w:rPr>
          <w:szCs w:val="28"/>
        </w:rPr>
        <w:t>д</w:t>
      </w:r>
      <w:r w:rsidRPr="00C20ADA">
        <w:rPr>
          <w:szCs w:val="28"/>
        </w:rPr>
        <w:t>ержавного бюджету на відповідний рік.</w:t>
      </w:r>
    </w:p>
    <w:p w:rsidR="00342B7F" w:rsidRPr="001712A5" w:rsidRDefault="00342B7F" w:rsidP="001712A5">
      <w:pPr>
        <w:ind w:firstLine="709"/>
        <w:jc w:val="both"/>
        <w:rPr>
          <w:szCs w:val="28"/>
        </w:rPr>
      </w:pPr>
      <w:r w:rsidRPr="001712A5">
        <w:rPr>
          <w:i/>
          <w:szCs w:val="28"/>
        </w:rPr>
        <w:t>Довідково:</w:t>
      </w:r>
      <w:r w:rsidRPr="001712A5">
        <w:rPr>
          <w:szCs w:val="28"/>
        </w:rPr>
        <w:t xml:space="preserve"> відповідні порядок використання коштів, передбачених у державному бюджеті для надання одноразової грошової допомоги членам сімей осіб, смерть яких пов’язана з участю в масових акціях громадського протесту, та особам, які отримали тілесні ушкодження, побої, мордування під час участі в зазначених акціях, та порядок надання вказаної одноразової грошової допомоги затверджені постановою Кабінету Міністрів України від 11.01.2018 № 14 «Деякі питання використання коштів державного бюджету для надання одноразової грошової допомоги членам сімей осіб, смерть яких пов’язана з участю в масових акціях громадського протесту, що відбулися у період з 21 листопада 2013 р. по 21 лютого 2014 р., та особам, які отримали тілесні ушкодження, побої, мордування під час участі в зазначених акціях».</w:t>
      </w:r>
    </w:p>
    <w:p w:rsidR="00342B7F" w:rsidRPr="001712A5" w:rsidRDefault="00342B7F" w:rsidP="001712A5">
      <w:pPr>
        <w:ind w:firstLine="709"/>
        <w:jc w:val="both"/>
        <w:rPr>
          <w:szCs w:val="28"/>
        </w:rPr>
      </w:pPr>
      <w:r w:rsidRPr="001712A5">
        <w:rPr>
          <w:szCs w:val="28"/>
        </w:rPr>
        <w:lastRenderedPageBreak/>
        <w:t>Реалізація запропонованої законодавчої ініціативи потребуватиме додаткових видатків державного бюджету</w:t>
      </w:r>
      <w:r w:rsidR="00C20ADA">
        <w:rPr>
          <w:szCs w:val="28"/>
        </w:rPr>
        <w:t xml:space="preserve">, зокрема резервного фонду, </w:t>
      </w:r>
      <w:r w:rsidRPr="001712A5">
        <w:rPr>
          <w:szCs w:val="28"/>
        </w:rPr>
        <w:t>в частині</w:t>
      </w:r>
      <w:r w:rsidR="00B26C18" w:rsidRPr="001712A5">
        <w:rPr>
          <w:szCs w:val="28"/>
        </w:rPr>
        <w:t xml:space="preserve"> надання</w:t>
      </w:r>
      <w:r w:rsidRPr="001712A5">
        <w:rPr>
          <w:szCs w:val="28"/>
        </w:rPr>
        <w:t xml:space="preserve"> </w:t>
      </w:r>
      <w:r w:rsidR="00B26C18" w:rsidRPr="001712A5">
        <w:rPr>
          <w:szCs w:val="28"/>
        </w:rPr>
        <w:t>більшій кількості осіб, що постраждали в масових акціях громадського протесту та членами їх сімей</w:t>
      </w:r>
      <w:r w:rsidR="00C20ADA">
        <w:rPr>
          <w:szCs w:val="28"/>
        </w:rPr>
        <w:t>,</w:t>
      </w:r>
      <w:r w:rsidR="00B26C18" w:rsidRPr="001712A5">
        <w:rPr>
          <w:szCs w:val="28"/>
        </w:rPr>
        <w:t xml:space="preserve"> </w:t>
      </w:r>
      <w:r w:rsidRPr="001712A5">
        <w:rPr>
          <w:szCs w:val="28"/>
        </w:rPr>
        <w:t>одноразов</w:t>
      </w:r>
      <w:r w:rsidR="00B26C18" w:rsidRPr="001712A5">
        <w:rPr>
          <w:szCs w:val="28"/>
        </w:rPr>
        <w:t>ої</w:t>
      </w:r>
      <w:r w:rsidRPr="001712A5">
        <w:rPr>
          <w:szCs w:val="28"/>
        </w:rPr>
        <w:t xml:space="preserve"> грошов</w:t>
      </w:r>
      <w:r w:rsidR="00B26C18" w:rsidRPr="001712A5">
        <w:rPr>
          <w:szCs w:val="28"/>
        </w:rPr>
        <w:t>ої державної</w:t>
      </w:r>
      <w:r w:rsidRPr="001712A5">
        <w:rPr>
          <w:szCs w:val="28"/>
        </w:rPr>
        <w:t xml:space="preserve"> допомог</w:t>
      </w:r>
      <w:r w:rsidR="00B26C18" w:rsidRPr="001712A5">
        <w:rPr>
          <w:szCs w:val="28"/>
        </w:rPr>
        <w:t>и</w:t>
      </w:r>
      <w:r w:rsidRPr="001712A5">
        <w:rPr>
          <w:szCs w:val="28"/>
        </w:rPr>
        <w:t xml:space="preserve"> та </w:t>
      </w:r>
      <w:r w:rsidR="00B26C18" w:rsidRPr="001712A5">
        <w:rPr>
          <w:szCs w:val="28"/>
        </w:rPr>
        <w:t>інших</w:t>
      </w:r>
      <w:r w:rsidRPr="001712A5">
        <w:rPr>
          <w:szCs w:val="28"/>
        </w:rPr>
        <w:t xml:space="preserve"> пільг</w:t>
      </w:r>
      <w:r w:rsidR="00B26C18" w:rsidRPr="001712A5">
        <w:rPr>
          <w:szCs w:val="28"/>
        </w:rPr>
        <w:t xml:space="preserve">, </w:t>
      </w:r>
      <w:r w:rsidRPr="001712A5">
        <w:rPr>
          <w:szCs w:val="28"/>
        </w:rPr>
        <w:t xml:space="preserve">про що також зазначається авторами у пояснювальній записці </w:t>
      </w:r>
      <w:r w:rsidR="00B26C18" w:rsidRPr="001712A5">
        <w:rPr>
          <w:szCs w:val="28"/>
        </w:rPr>
        <w:t xml:space="preserve">до </w:t>
      </w:r>
      <w:r w:rsidRPr="001712A5">
        <w:rPr>
          <w:szCs w:val="28"/>
        </w:rPr>
        <w:t>законопроекту</w:t>
      </w:r>
      <w:r w:rsidR="00B26C18" w:rsidRPr="001712A5">
        <w:rPr>
          <w:szCs w:val="28"/>
        </w:rPr>
        <w:t>.</w:t>
      </w:r>
    </w:p>
    <w:p w:rsidR="00B26C18" w:rsidRPr="001712A5" w:rsidRDefault="00E06897" w:rsidP="001712A5">
      <w:pPr>
        <w:ind w:firstLine="709"/>
        <w:jc w:val="both"/>
        <w:rPr>
          <w:szCs w:val="28"/>
        </w:rPr>
      </w:pPr>
      <w:r w:rsidRPr="001712A5">
        <w:rPr>
          <w:szCs w:val="28"/>
        </w:rPr>
        <w:t xml:space="preserve">У </w:t>
      </w:r>
      <w:r w:rsidR="00D4266D" w:rsidRPr="001712A5">
        <w:rPr>
          <w:szCs w:val="28"/>
        </w:rPr>
        <w:t>експертному</w:t>
      </w:r>
      <w:r w:rsidRPr="001712A5">
        <w:rPr>
          <w:szCs w:val="28"/>
        </w:rPr>
        <w:t xml:space="preserve"> висновку Міністер</w:t>
      </w:r>
      <w:r w:rsidR="00D4266D" w:rsidRPr="001712A5">
        <w:rPr>
          <w:szCs w:val="28"/>
        </w:rPr>
        <w:t>ст</w:t>
      </w:r>
      <w:r w:rsidRPr="001712A5">
        <w:rPr>
          <w:szCs w:val="28"/>
        </w:rPr>
        <w:t>ва фінансів України</w:t>
      </w:r>
      <w:r w:rsidR="00C20ADA">
        <w:rPr>
          <w:szCs w:val="28"/>
        </w:rPr>
        <w:t xml:space="preserve"> /далі – Мінфін/</w:t>
      </w:r>
      <w:r w:rsidR="00B26C18" w:rsidRPr="001712A5">
        <w:rPr>
          <w:szCs w:val="28"/>
        </w:rPr>
        <w:t xml:space="preserve"> </w:t>
      </w:r>
      <w:r w:rsidR="00B26C18" w:rsidRPr="001712A5">
        <w:rPr>
          <w:i/>
          <w:szCs w:val="28"/>
        </w:rPr>
        <w:t>(копія додається)</w:t>
      </w:r>
      <w:r w:rsidRPr="001712A5">
        <w:rPr>
          <w:szCs w:val="28"/>
        </w:rPr>
        <w:t xml:space="preserve"> зазначено, що реалізація </w:t>
      </w:r>
      <w:r w:rsidR="00D4266D" w:rsidRPr="001712A5">
        <w:rPr>
          <w:szCs w:val="28"/>
        </w:rPr>
        <w:t>законопроекту</w:t>
      </w:r>
      <w:r w:rsidRPr="001712A5">
        <w:rPr>
          <w:szCs w:val="28"/>
        </w:rPr>
        <w:t xml:space="preserve"> впливатиме на видаткову частину державного бюджету</w:t>
      </w:r>
      <w:r w:rsidR="00D4266D" w:rsidRPr="001712A5">
        <w:rPr>
          <w:szCs w:val="28"/>
        </w:rPr>
        <w:t xml:space="preserve"> </w:t>
      </w:r>
      <w:r w:rsidR="00C20ADA">
        <w:rPr>
          <w:szCs w:val="28"/>
        </w:rPr>
        <w:t>(</w:t>
      </w:r>
      <w:r w:rsidR="00D4266D" w:rsidRPr="001712A5">
        <w:rPr>
          <w:szCs w:val="28"/>
        </w:rPr>
        <w:t>проте</w:t>
      </w:r>
      <w:r w:rsidR="00B26C18" w:rsidRPr="001712A5">
        <w:rPr>
          <w:szCs w:val="28"/>
        </w:rPr>
        <w:t xml:space="preserve"> визначити обсяг додаткових видатків Мінфін не має можливості у зв’язку з відсутністю вихідних даних</w:t>
      </w:r>
      <w:r w:rsidR="00C20ADA">
        <w:rPr>
          <w:szCs w:val="28"/>
        </w:rPr>
        <w:t>) і не буде забезпечений фінансовим ресурсом</w:t>
      </w:r>
      <w:r w:rsidR="00B26C18" w:rsidRPr="001712A5">
        <w:rPr>
          <w:szCs w:val="28"/>
        </w:rPr>
        <w:t xml:space="preserve">. </w:t>
      </w:r>
    </w:p>
    <w:p w:rsidR="00D4266D" w:rsidRDefault="00D4266D" w:rsidP="001712A5">
      <w:pPr>
        <w:ind w:firstLine="709"/>
        <w:jc w:val="both"/>
        <w:rPr>
          <w:szCs w:val="28"/>
        </w:rPr>
      </w:pPr>
      <w:r w:rsidRPr="001712A5">
        <w:rPr>
          <w:szCs w:val="28"/>
        </w:rPr>
        <w:t>Всупереч вимогам частини першої статті 27 Бюджетного кодексу України та частини третьої статті 91 Регламенту Верховної Ради України суб’єктами права законодавчої ініціативи до законопроекту, прийняття якого призведе до змін показників бюджету, н</w:t>
      </w:r>
      <w:r w:rsidR="00B26C18" w:rsidRPr="001712A5">
        <w:rPr>
          <w:szCs w:val="28"/>
        </w:rPr>
        <w:t>е</w:t>
      </w:r>
      <w:r w:rsidRPr="001712A5">
        <w:rPr>
          <w:szCs w:val="28"/>
        </w:rPr>
        <w:t xml:space="preserve"> нада</w:t>
      </w:r>
      <w:r w:rsidR="00C20ADA">
        <w:rPr>
          <w:szCs w:val="28"/>
        </w:rPr>
        <w:t>но</w:t>
      </w:r>
      <w:r w:rsidRPr="001712A5">
        <w:rPr>
          <w:szCs w:val="28"/>
        </w:rPr>
        <w:t xml:space="preserve"> фінансово-економічн</w:t>
      </w:r>
      <w:r w:rsidR="00B26C18" w:rsidRPr="001712A5">
        <w:rPr>
          <w:szCs w:val="28"/>
        </w:rPr>
        <w:t>і</w:t>
      </w:r>
      <w:r w:rsidRPr="001712A5">
        <w:rPr>
          <w:szCs w:val="28"/>
        </w:rPr>
        <w:t xml:space="preserve"> обґрунтування (включаючи відповідні розрахунки) та пропозиці</w:t>
      </w:r>
      <w:r w:rsidR="00B26C18" w:rsidRPr="001712A5">
        <w:rPr>
          <w:szCs w:val="28"/>
        </w:rPr>
        <w:t>ї</w:t>
      </w:r>
      <w:r w:rsidRPr="001712A5">
        <w:rPr>
          <w:szCs w:val="28"/>
        </w:rPr>
        <w:t xml:space="preserve"> змін до законодавчих актів України щодо скорочення витрат бюджету та/або джерел додаткових надходжень бюджету для досягнення збалансованості бюджету. На невиконання вказаних вимог </w:t>
      </w:r>
      <w:proofErr w:type="spellStart"/>
      <w:r w:rsidRPr="001712A5">
        <w:rPr>
          <w:szCs w:val="28"/>
        </w:rPr>
        <w:t>звернуто</w:t>
      </w:r>
      <w:proofErr w:type="spellEnd"/>
      <w:r w:rsidRPr="001712A5">
        <w:rPr>
          <w:szCs w:val="28"/>
        </w:rPr>
        <w:t xml:space="preserve"> увагу також Міністерством фінансів України.</w:t>
      </w:r>
    </w:p>
    <w:p w:rsidR="00C20ADA" w:rsidRPr="001712A5" w:rsidRDefault="00C20ADA" w:rsidP="00C20ADA">
      <w:pPr>
        <w:ind w:firstLine="709"/>
        <w:jc w:val="both"/>
        <w:rPr>
          <w:szCs w:val="28"/>
        </w:rPr>
      </w:pPr>
      <w:r w:rsidRPr="001712A5">
        <w:rPr>
          <w:szCs w:val="28"/>
        </w:rPr>
        <w:t>Відповідно до вимог частини третьої статті 27 Бюджетного кодексу України, закони України або їх окремі положення, які впливають на показники бюджету (зменшують надходження бюджету та/або збільшують витрати бюджету) і приймаються не пізніше 15 липня року, що передує плановому, вводяться в дію не раніше початку планового бюджетного періоду, якщо ж ці Закони України або їх окремі положення приймаються після 15 липня року, що передує плановому – вводяться в дію не раніше початку бюджетного періоду, що настає за плановим.</w:t>
      </w:r>
    </w:p>
    <w:p w:rsidR="00B26C18" w:rsidRPr="001712A5" w:rsidRDefault="00C20ADA" w:rsidP="001712A5">
      <w:pPr>
        <w:ind w:firstLine="709"/>
        <w:jc w:val="both"/>
        <w:rPr>
          <w:szCs w:val="28"/>
        </w:rPr>
      </w:pPr>
      <w:r>
        <w:rPr>
          <w:szCs w:val="28"/>
        </w:rPr>
        <w:t>З</w:t>
      </w:r>
      <w:r w:rsidR="00B26C18" w:rsidRPr="001712A5">
        <w:rPr>
          <w:szCs w:val="28"/>
        </w:rPr>
        <w:t>а узагальнюючим висновком Мінфіну законопроект потребує доопрацювання в частині визначення джерел покриття додаткових видатків і приведення у відповідність до вимог статті 27 Бюджетного кодексу України.</w:t>
      </w:r>
    </w:p>
    <w:p w:rsidR="00DC2479" w:rsidRPr="001712A5" w:rsidRDefault="00DC2479" w:rsidP="001712A5">
      <w:pPr>
        <w:ind w:firstLine="709"/>
        <w:jc w:val="both"/>
        <w:rPr>
          <w:szCs w:val="28"/>
        </w:rPr>
      </w:pPr>
      <w:r w:rsidRPr="001712A5">
        <w:rPr>
          <w:szCs w:val="28"/>
        </w:rPr>
        <w:t xml:space="preserve">За підсумками розгляду Комітет прийняв рішення, що проект закону </w:t>
      </w:r>
      <w:r w:rsidR="001712A5" w:rsidRPr="001712A5">
        <w:rPr>
          <w:szCs w:val="28"/>
        </w:rPr>
        <w:t xml:space="preserve">про внесення змін до статті 2 Закону України «Про встановлення державної допомоги постраждалим учасникам масових акцій громадського протесту та членам їх сімей» щодо уточнення терміну «масові акції громадського протесту» (реєстр. № 6467 від 24.12.2021), поданий народними депутатами України Мезенцевою М.С. та іншими, </w:t>
      </w:r>
      <w:r w:rsidRPr="001712A5">
        <w:rPr>
          <w:szCs w:val="28"/>
        </w:rPr>
        <w:t xml:space="preserve">має вплив на показники бюджету (збільшуючи витрати </w:t>
      </w:r>
      <w:r w:rsidR="00C20ADA">
        <w:rPr>
          <w:szCs w:val="28"/>
        </w:rPr>
        <w:t xml:space="preserve">резервного фонду </w:t>
      </w:r>
      <w:r w:rsidRPr="001712A5">
        <w:rPr>
          <w:szCs w:val="28"/>
        </w:rPr>
        <w:t>державного бюджет</w:t>
      </w:r>
      <w:r w:rsidR="001712A5" w:rsidRPr="001712A5">
        <w:rPr>
          <w:szCs w:val="28"/>
        </w:rPr>
        <w:t>у</w:t>
      </w:r>
      <w:r w:rsidRPr="001712A5">
        <w:rPr>
          <w:szCs w:val="28"/>
        </w:rPr>
        <w:t>). У разі прийняття відповідного закону до 15</w:t>
      </w:r>
      <w:r w:rsidR="001712A5" w:rsidRPr="001712A5">
        <w:rPr>
          <w:szCs w:val="28"/>
        </w:rPr>
        <w:t> </w:t>
      </w:r>
      <w:r w:rsidRPr="001712A5">
        <w:rPr>
          <w:szCs w:val="28"/>
        </w:rPr>
        <w:t>липня 2022 року він має вводитися в дію не раніше 1 січня 2023 року, а після 15 липня 2022 року – не раніше 1 січня 2024 року (або 1 січня наступного за цим року зал</w:t>
      </w:r>
      <w:r w:rsidR="001712A5" w:rsidRPr="001712A5">
        <w:rPr>
          <w:szCs w:val="28"/>
        </w:rPr>
        <w:t>ежно від часу прийняття закону).</w:t>
      </w:r>
    </w:p>
    <w:p w:rsidR="00D4266D" w:rsidRPr="001712A5" w:rsidRDefault="00D4266D" w:rsidP="001712A5">
      <w:pPr>
        <w:pStyle w:val="a4"/>
        <w:spacing w:before="0"/>
        <w:ind w:firstLine="709"/>
        <w:rPr>
          <w:color w:val="auto"/>
          <w:szCs w:val="28"/>
        </w:rPr>
      </w:pPr>
      <w:r w:rsidRPr="001712A5">
        <w:rPr>
          <w:color w:val="auto"/>
          <w:szCs w:val="28"/>
        </w:rPr>
        <w:t xml:space="preserve">Додаток: на 2 </w:t>
      </w:r>
      <w:proofErr w:type="spellStart"/>
      <w:r w:rsidRPr="001712A5">
        <w:rPr>
          <w:color w:val="auto"/>
          <w:szCs w:val="28"/>
        </w:rPr>
        <w:t>арк</w:t>
      </w:r>
      <w:proofErr w:type="spellEnd"/>
      <w:r w:rsidRPr="001712A5">
        <w:rPr>
          <w:color w:val="auto"/>
          <w:szCs w:val="28"/>
        </w:rPr>
        <w:t>.</w:t>
      </w:r>
    </w:p>
    <w:p w:rsidR="0084601D" w:rsidRPr="001712A5" w:rsidRDefault="008F3678" w:rsidP="008F3678">
      <w:pPr>
        <w:pStyle w:val="4"/>
        <w:keepNext w:val="0"/>
        <w:widowControl w:val="0"/>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spacing w:before="0"/>
        <w:jc w:val="both"/>
        <w:rPr>
          <w:szCs w:val="28"/>
        </w:rPr>
      </w:pPr>
      <w:r w:rsidRPr="001712A5">
        <w:rPr>
          <w:rFonts w:ascii="Times New Roman" w:eastAsia="Times New Roman" w:hAnsi="Times New Roman" w:cs="Times New Roman"/>
          <w:b/>
          <w:i w:val="0"/>
          <w:iCs w:val="0"/>
          <w:color w:val="auto"/>
          <w:szCs w:val="28"/>
        </w:rPr>
        <w:t xml:space="preserve">Голова Комітету </w:t>
      </w:r>
      <w:r w:rsidRPr="001712A5">
        <w:rPr>
          <w:rFonts w:ascii="Times New Roman" w:eastAsia="Times New Roman" w:hAnsi="Times New Roman" w:cs="Times New Roman"/>
          <w:b/>
          <w:i w:val="0"/>
          <w:iCs w:val="0"/>
          <w:color w:val="auto"/>
          <w:szCs w:val="28"/>
        </w:rPr>
        <w:tab/>
      </w:r>
      <w:r w:rsidRPr="001712A5">
        <w:rPr>
          <w:rFonts w:ascii="Times New Roman" w:eastAsia="Times New Roman" w:hAnsi="Times New Roman" w:cs="Times New Roman"/>
          <w:b/>
          <w:i w:val="0"/>
          <w:iCs w:val="0"/>
          <w:color w:val="auto"/>
          <w:szCs w:val="28"/>
        </w:rPr>
        <w:tab/>
      </w:r>
      <w:r w:rsidRPr="001712A5">
        <w:rPr>
          <w:rFonts w:ascii="Times New Roman" w:eastAsia="Times New Roman" w:hAnsi="Times New Roman" w:cs="Times New Roman"/>
          <w:b/>
          <w:i w:val="0"/>
          <w:iCs w:val="0"/>
          <w:color w:val="auto"/>
          <w:szCs w:val="28"/>
        </w:rPr>
        <w:tab/>
      </w:r>
      <w:r w:rsidRPr="001712A5">
        <w:rPr>
          <w:rFonts w:ascii="Times New Roman" w:eastAsia="Times New Roman" w:hAnsi="Times New Roman" w:cs="Times New Roman"/>
          <w:b/>
          <w:i w:val="0"/>
          <w:iCs w:val="0"/>
          <w:color w:val="auto"/>
          <w:szCs w:val="28"/>
        </w:rPr>
        <w:tab/>
      </w:r>
      <w:r w:rsidRPr="001712A5">
        <w:rPr>
          <w:rFonts w:ascii="Times New Roman" w:eastAsia="Times New Roman" w:hAnsi="Times New Roman" w:cs="Times New Roman"/>
          <w:b/>
          <w:i w:val="0"/>
          <w:iCs w:val="0"/>
          <w:color w:val="auto"/>
          <w:szCs w:val="28"/>
        </w:rPr>
        <w:tab/>
      </w:r>
      <w:r w:rsidRPr="001712A5">
        <w:rPr>
          <w:rFonts w:ascii="Times New Roman" w:eastAsia="Times New Roman" w:hAnsi="Times New Roman" w:cs="Times New Roman"/>
          <w:b/>
          <w:i w:val="0"/>
          <w:iCs w:val="0"/>
          <w:color w:val="auto"/>
          <w:szCs w:val="28"/>
        </w:rPr>
        <w:tab/>
      </w:r>
      <w:r w:rsidR="007B57B6" w:rsidRPr="001712A5">
        <w:rPr>
          <w:rFonts w:ascii="Times New Roman" w:eastAsia="Times New Roman" w:hAnsi="Times New Roman" w:cs="Times New Roman"/>
          <w:b/>
          <w:i w:val="0"/>
          <w:iCs w:val="0"/>
          <w:color w:val="auto"/>
          <w:szCs w:val="28"/>
        </w:rPr>
        <w:t>Ю</w:t>
      </w:r>
      <w:r w:rsidRPr="001712A5">
        <w:rPr>
          <w:rFonts w:ascii="Times New Roman" w:eastAsia="Times New Roman" w:hAnsi="Times New Roman" w:cs="Times New Roman"/>
          <w:b/>
          <w:i w:val="0"/>
          <w:iCs w:val="0"/>
          <w:color w:val="auto"/>
          <w:szCs w:val="28"/>
        </w:rPr>
        <w:t>.</w:t>
      </w:r>
      <w:r w:rsidR="007B57B6" w:rsidRPr="001712A5">
        <w:rPr>
          <w:rFonts w:ascii="Times New Roman" w:eastAsia="Times New Roman" w:hAnsi="Times New Roman" w:cs="Times New Roman"/>
          <w:b/>
          <w:i w:val="0"/>
          <w:iCs w:val="0"/>
          <w:color w:val="auto"/>
          <w:szCs w:val="28"/>
        </w:rPr>
        <w:t>Ю</w:t>
      </w:r>
      <w:r w:rsidRPr="001712A5">
        <w:rPr>
          <w:rFonts w:ascii="Times New Roman" w:eastAsia="Times New Roman" w:hAnsi="Times New Roman" w:cs="Times New Roman"/>
          <w:b/>
          <w:i w:val="0"/>
          <w:iCs w:val="0"/>
          <w:color w:val="auto"/>
          <w:szCs w:val="28"/>
        </w:rPr>
        <w:t xml:space="preserve">. </w:t>
      </w:r>
      <w:r w:rsidR="007B57B6" w:rsidRPr="001712A5">
        <w:rPr>
          <w:rFonts w:ascii="Times New Roman" w:eastAsia="Times New Roman" w:hAnsi="Times New Roman" w:cs="Times New Roman"/>
          <w:b/>
          <w:i w:val="0"/>
          <w:iCs w:val="0"/>
          <w:color w:val="auto"/>
          <w:szCs w:val="28"/>
        </w:rPr>
        <w:t>Арістов</w:t>
      </w:r>
    </w:p>
    <w:sectPr w:rsidR="0084601D" w:rsidRPr="001712A5" w:rsidSect="007A3511">
      <w:pgSz w:w="11906" w:h="16838"/>
      <w:pgMar w:top="851" w:right="566" w:bottom="851"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01D"/>
    <w:rsid w:val="0000683E"/>
    <w:rsid w:val="00011CDB"/>
    <w:rsid w:val="00016672"/>
    <w:rsid w:val="0002102E"/>
    <w:rsid w:val="0003430E"/>
    <w:rsid w:val="00051B23"/>
    <w:rsid w:val="00053785"/>
    <w:rsid w:val="000553A9"/>
    <w:rsid w:val="000560AF"/>
    <w:rsid w:val="00066FB5"/>
    <w:rsid w:val="00074448"/>
    <w:rsid w:val="00075942"/>
    <w:rsid w:val="00077415"/>
    <w:rsid w:val="000879DA"/>
    <w:rsid w:val="00096855"/>
    <w:rsid w:val="000B1AE9"/>
    <w:rsid w:val="000C03C1"/>
    <w:rsid w:val="000C326E"/>
    <w:rsid w:val="000C542B"/>
    <w:rsid w:val="000C69F1"/>
    <w:rsid w:val="000D4403"/>
    <w:rsid w:val="000D719F"/>
    <w:rsid w:val="000E5DD0"/>
    <w:rsid w:val="000F252B"/>
    <w:rsid w:val="000F6BD9"/>
    <w:rsid w:val="00105B95"/>
    <w:rsid w:val="00120384"/>
    <w:rsid w:val="00120EC0"/>
    <w:rsid w:val="001223FB"/>
    <w:rsid w:val="00123ED7"/>
    <w:rsid w:val="001262BB"/>
    <w:rsid w:val="00134713"/>
    <w:rsid w:val="001379EE"/>
    <w:rsid w:val="00144B52"/>
    <w:rsid w:val="00155090"/>
    <w:rsid w:val="001561F1"/>
    <w:rsid w:val="0016270A"/>
    <w:rsid w:val="00162DD9"/>
    <w:rsid w:val="001646C3"/>
    <w:rsid w:val="001712A5"/>
    <w:rsid w:val="00171A1F"/>
    <w:rsid w:val="001733EB"/>
    <w:rsid w:val="001848F8"/>
    <w:rsid w:val="00186ADC"/>
    <w:rsid w:val="001918C8"/>
    <w:rsid w:val="00191DB9"/>
    <w:rsid w:val="001A7C88"/>
    <w:rsid w:val="001B2714"/>
    <w:rsid w:val="001B47A5"/>
    <w:rsid w:val="001B7BE4"/>
    <w:rsid w:val="001C5D9D"/>
    <w:rsid w:val="001D012D"/>
    <w:rsid w:val="001D29DB"/>
    <w:rsid w:val="001E0F09"/>
    <w:rsid w:val="001E291E"/>
    <w:rsid w:val="001F42B8"/>
    <w:rsid w:val="001F6CAE"/>
    <w:rsid w:val="00221C5C"/>
    <w:rsid w:val="00223CBF"/>
    <w:rsid w:val="00224421"/>
    <w:rsid w:val="00226E0B"/>
    <w:rsid w:val="00233577"/>
    <w:rsid w:val="00236C6F"/>
    <w:rsid w:val="002371C9"/>
    <w:rsid w:val="00240CE8"/>
    <w:rsid w:val="00244260"/>
    <w:rsid w:val="00245F4E"/>
    <w:rsid w:val="00247133"/>
    <w:rsid w:val="00252837"/>
    <w:rsid w:val="002539D2"/>
    <w:rsid w:val="00257AFC"/>
    <w:rsid w:val="002614E3"/>
    <w:rsid w:val="00263DFE"/>
    <w:rsid w:val="002778DA"/>
    <w:rsid w:val="00280590"/>
    <w:rsid w:val="00290846"/>
    <w:rsid w:val="00293893"/>
    <w:rsid w:val="002955D7"/>
    <w:rsid w:val="00296666"/>
    <w:rsid w:val="002B5921"/>
    <w:rsid w:val="002C3892"/>
    <w:rsid w:val="002C398C"/>
    <w:rsid w:val="002C7475"/>
    <w:rsid w:val="002D0DA7"/>
    <w:rsid w:val="002D2AA2"/>
    <w:rsid w:val="002D6539"/>
    <w:rsid w:val="002D7E1D"/>
    <w:rsid w:val="00311A79"/>
    <w:rsid w:val="003176DE"/>
    <w:rsid w:val="00330DA4"/>
    <w:rsid w:val="003368BB"/>
    <w:rsid w:val="003407A1"/>
    <w:rsid w:val="00341F46"/>
    <w:rsid w:val="00342B7F"/>
    <w:rsid w:val="00343364"/>
    <w:rsid w:val="00344F88"/>
    <w:rsid w:val="003560D5"/>
    <w:rsid w:val="00383146"/>
    <w:rsid w:val="00386A13"/>
    <w:rsid w:val="00394D0E"/>
    <w:rsid w:val="0039609B"/>
    <w:rsid w:val="003A4DD9"/>
    <w:rsid w:val="003B1E17"/>
    <w:rsid w:val="003B78D1"/>
    <w:rsid w:val="003C4999"/>
    <w:rsid w:val="003C4E5B"/>
    <w:rsid w:val="003F1557"/>
    <w:rsid w:val="00401F9D"/>
    <w:rsid w:val="00403ADA"/>
    <w:rsid w:val="004076AF"/>
    <w:rsid w:val="004236D9"/>
    <w:rsid w:val="004251B9"/>
    <w:rsid w:val="00436130"/>
    <w:rsid w:val="00445BFF"/>
    <w:rsid w:val="0045499B"/>
    <w:rsid w:val="00461BEB"/>
    <w:rsid w:val="00467975"/>
    <w:rsid w:val="00467CC2"/>
    <w:rsid w:val="004762A0"/>
    <w:rsid w:val="00480537"/>
    <w:rsid w:val="004A0BB2"/>
    <w:rsid w:val="004B07A9"/>
    <w:rsid w:val="004B7286"/>
    <w:rsid w:val="004C3C7D"/>
    <w:rsid w:val="004C6CB7"/>
    <w:rsid w:val="004D2066"/>
    <w:rsid w:val="004D45F0"/>
    <w:rsid w:val="004D5F9C"/>
    <w:rsid w:val="004D7067"/>
    <w:rsid w:val="004E0EE5"/>
    <w:rsid w:val="0050107B"/>
    <w:rsid w:val="005028CA"/>
    <w:rsid w:val="005074CB"/>
    <w:rsid w:val="005405D3"/>
    <w:rsid w:val="005509C9"/>
    <w:rsid w:val="00557CE3"/>
    <w:rsid w:val="00562A7E"/>
    <w:rsid w:val="00562CD4"/>
    <w:rsid w:val="0056366F"/>
    <w:rsid w:val="00570D79"/>
    <w:rsid w:val="00575499"/>
    <w:rsid w:val="00587446"/>
    <w:rsid w:val="0059542D"/>
    <w:rsid w:val="00596AED"/>
    <w:rsid w:val="005A28C0"/>
    <w:rsid w:val="005A2BF0"/>
    <w:rsid w:val="005B2291"/>
    <w:rsid w:val="005B2B2B"/>
    <w:rsid w:val="005C49FF"/>
    <w:rsid w:val="005D24DA"/>
    <w:rsid w:val="005D3049"/>
    <w:rsid w:val="005D5C0C"/>
    <w:rsid w:val="005D7A27"/>
    <w:rsid w:val="005E2F3F"/>
    <w:rsid w:val="005F0387"/>
    <w:rsid w:val="00610DEB"/>
    <w:rsid w:val="00620263"/>
    <w:rsid w:val="006319FB"/>
    <w:rsid w:val="0063595C"/>
    <w:rsid w:val="0066683A"/>
    <w:rsid w:val="006706C7"/>
    <w:rsid w:val="006722E1"/>
    <w:rsid w:val="00687E25"/>
    <w:rsid w:val="00691684"/>
    <w:rsid w:val="00692460"/>
    <w:rsid w:val="00694BC9"/>
    <w:rsid w:val="006A5B6A"/>
    <w:rsid w:val="006B1775"/>
    <w:rsid w:val="006B5A6E"/>
    <w:rsid w:val="006B6E87"/>
    <w:rsid w:val="006C1E68"/>
    <w:rsid w:val="006C378F"/>
    <w:rsid w:val="006C3BB2"/>
    <w:rsid w:val="006D0434"/>
    <w:rsid w:val="006D4AB4"/>
    <w:rsid w:val="006D5A3D"/>
    <w:rsid w:val="006E3398"/>
    <w:rsid w:val="006F6BCC"/>
    <w:rsid w:val="007004FF"/>
    <w:rsid w:val="00700EEC"/>
    <w:rsid w:val="0070468F"/>
    <w:rsid w:val="00733D82"/>
    <w:rsid w:val="007364F2"/>
    <w:rsid w:val="007414FF"/>
    <w:rsid w:val="00741AA9"/>
    <w:rsid w:val="00742510"/>
    <w:rsid w:val="00750EDF"/>
    <w:rsid w:val="00751A79"/>
    <w:rsid w:val="00752860"/>
    <w:rsid w:val="00755BA3"/>
    <w:rsid w:val="00762B83"/>
    <w:rsid w:val="0076471A"/>
    <w:rsid w:val="007656CB"/>
    <w:rsid w:val="007727F8"/>
    <w:rsid w:val="00786EC0"/>
    <w:rsid w:val="007A07FF"/>
    <w:rsid w:val="007A1103"/>
    <w:rsid w:val="007A3511"/>
    <w:rsid w:val="007A3B02"/>
    <w:rsid w:val="007A5390"/>
    <w:rsid w:val="007A740D"/>
    <w:rsid w:val="007B3B0C"/>
    <w:rsid w:val="007B45FA"/>
    <w:rsid w:val="007B57B6"/>
    <w:rsid w:val="007C5906"/>
    <w:rsid w:val="007C7057"/>
    <w:rsid w:val="007D0188"/>
    <w:rsid w:val="007D0CB2"/>
    <w:rsid w:val="007E0DDC"/>
    <w:rsid w:val="007E75B1"/>
    <w:rsid w:val="007F0289"/>
    <w:rsid w:val="007F1C80"/>
    <w:rsid w:val="007F50A0"/>
    <w:rsid w:val="007F7388"/>
    <w:rsid w:val="0080186C"/>
    <w:rsid w:val="00810FB7"/>
    <w:rsid w:val="008274B1"/>
    <w:rsid w:val="00831082"/>
    <w:rsid w:val="00834EC5"/>
    <w:rsid w:val="00836590"/>
    <w:rsid w:val="008459BB"/>
    <w:rsid w:val="0084601D"/>
    <w:rsid w:val="00846DED"/>
    <w:rsid w:val="0084757D"/>
    <w:rsid w:val="00862480"/>
    <w:rsid w:val="00866E9C"/>
    <w:rsid w:val="00870EA5"/>
    <w:rsid w:val="008720E5"/>
    <w:rsid w:val="00887906"/>
    <w:rsid w:val="008A4CB5"/>
    <w:rsid w:val="008A59C6"/>
    <w:rsid w:val="008A5C5F"/>
    <w:rsid w:val="008B110B"/>
    <w:rsid w:val="008B33B4"/>
    <w:rsid w:val="008C300B"/>
    <w:rsid w:val="008D56E2"/>
    <w:rsid w:val="008D5927"/>
    <w:rsid w:val="008D61DC"/>
    <w:rsid w:val="008D76A2"/>
    <w:rsid w:val="008E12DA"/>
    <w:rsid w:val="008E1626"/>
    <w:rsid w:val="008E218A"/>
    <w:rsid w:val="008E2862"/>
    <w:rsid w:val="008E7FD9"/>
    <w:rsid w:val="008F1C13"/>
    <w:rsid w:val="008F3678"/>
    <w:rsid w:val="008F38CB"/>
    <w:rsid w:val="009036CB"/>
    <w:rsid w:val="009057C1"/>
    <w:rsid w:val="00910085"/>
    <w:rsid w:val="00922E12"/>
    <w:rsid w:val="009342DA"/>
    <w:rsid w:val="00935703"/>
    <w:rsid w:val="0094286A"/>
    <w:rsid w:val="00947867"/>
    <w:rsid w:val="00952477"/>
    <w:rsid w:val="009568F1"/>
    <w:rsid w:val="00957DCF"/>
    <w:rsid w:val="00990C19"/>
    <w:rsid w:val="009A0A6A"/>
    <w:rsid w:val="009A1F43"/>
    <w:rsid w:val="009A41A8"/>
    <w:rsid w:val="009A6C1E"/>
    <w:rsid w:val="009B092B"/>
    <w:rsid w:val="009B10C9"/>
    <w:rsid w:val="009B21C9"/>
    <w:rsid w:val="009B4B56"/>
    <w:rsid w:val="009D0C48"/>
    <w:rsid w:val="009D0EBE"/>
    <w:rsid w:val="009D22F8"/>
    <w:rsid w:val="009D505B"/>
    <w:rsid w:val="009D6C3D"/>
    <w:rsid w:val="009E0025"/>
    <w:rsid w:val="009E664D"/>
    <w:rsid w:val="009F1351"/>
    <w:rsid w:val="009F2782"/>
    <w:rsid w:val="009F5F66"/>
    <w:rsid w:val="00A034F9"/>
    <w:rsid w:val="00A14620"/>
    <w:rsid w:val="00A219FC"/>
    <w:rsid w:val="00A32BA3"/>
    <w:rsid w:val="00A378E3"/>
    <w:rsid w:val="00A37ECE"/>
    <w:rsid w:val="00A507FB"/>
    <w:rsid w:val="00A55551"/>
    <w:rsid w:val="00A573A5"/>
    <w:rsid w:val="00A63531"/>
    <w:rsid w:val="00A6489A"/>
    <w:rsid w:val="00A71200"/>
    <w:rsid w:val="00A7488F"/>
    <w:rsid w:val="00A761A7"/>
    <w:rsid w:val="00A7751B"/>
    <w:rsid w:val="00A83039"/>
    <w:rsid w:val="00A85AAB"/>
    <w:rsid w:val="00A9041F"/>
    <w:rsid w:val="00A90B5A"/>
    <w:rsid w:val="00A93B00"/>
    <w:rsid w:val="00AA0E0A"/>
    <w:rsid w:val="00AA687A"/>
    <w:rsid w:val="00AA7A85"/>
    <w:rsid w:val="00AB3A67"/>
    <w:rsid w:val="00AC4DD9"/>
    <w:rsid w:val="00AC68CE"/>
    <w:rsid w:val="00AC68D7"/>
    <w:rsid w:val="00AD1FF0"/>
    <w:rsid w:val="00AD3E56"/>
    <w:rsid w:val="00AD7030"/>
    <w:rsid w:val="00AE147F"/>
    <w:rsid w:val="00AE6748"/>
    <w:rsid w:val="00AF641A"/>
    <w:rsid w:val="00B0140B"/>
    <w:rsid w:val="00B03DC1"/>
    <w:rsid w:val="00B056D6"/>
    <w:rsid w:val="00B14468"/>
    <w:rsid w:val="00B15435"/>
    <w:rsid w:val="00B239A5"/>
    <w:rsid w:val="00B25675"/>
    <w:rsid w:val="00B25863"/>
    <w:rsid w:val="00B26C18"/>
    <w:rsid w:val="00B32602"/>
    <w:rsid w:val="00B32FEB"/>
    <w:rsid w:val="00B340CB"/>
    <w:rsid w:val="00B37C22"/>
    <w:rsid w:val="00B5163E"/>
    <w:rsid w:val="00B55B11"/>
    <w:rsid w:val="00B639D9"/>
    <w:rsid w:val="00B63EC6"/>
    <w:rsid w:val="00B653D7"/>
    <w:rsid w:val="00BA01F4"/>
    <w:rsid w:val="00BA4D87"/>
    <w:rsid w:val="00BB01A0"/>
    <w:rsid w:val="00BB324F"/>
    <w:rsid w:val="00BB39F7"/>
    <w:rsid w:val="00BC0F76"/>
    <w:rsid w:val="00BC3848"/>
    <w:rsid w:val="00BD2251"/>
    <w:rsid w:val="00BD6F23"/>
    <w:rsid w:val="00BE097F"/>
    <w:rsid w:val="00BE1463"/>
    <w:rsid w:val="00BF0054"/>
    <w:rsid w:val="00BF02B1"/>
    <w:rsid w:val="00BF0BD2"/>
    <w:rsid w:val="00C016F3"/>
    <w:rsid w:val="00C01A61"/>
    <w:rsid w:val="00C0383C"/>
    <w:rsid w:val="00C03B1C"/>
    <w:rsid w:val="00C04C6F"/>
    <w:rsid w:val="00C0505F"/>
    <w:rsid w:val="00C12AF9"/>
    <w:rsid w:val="00C13334"/>
    <w:rsid w:val="00C15B78"/>
    <w:rsid w:val="00C164D5"/>
    <w:rsid w:val="00C20ADA"/>
    <w:rsid w:val="00C2238F"/>
    <w:rsid w:val="00C22852"/>
    <w:rsid w:val="00C228D9"/>
    <w:rsid w:val="00C22E4B"/>
    <w:rsid w:val="00C24A02"/>
    <w:rsid w:val="00C30352"/>
    <w:rsid w:val="00C32F82"/>
    <w:rsid w:val="00C338AE"/>
    <w:rsid w:val="00C37FB5"/>
    <w:rsid w:val="00C43C82"/>
    <w:rsid w:val="00C44B70"/>
    <w:rsid w:val="00C50252"/>
    <w:rsid w:val="00C5613D"/>
    <w:rsid w:val="00C578AC"/>
    <w:rsid w:val="00C64B72"/>
    <w:rsid w:val="00C6503C"/>
    <w:rsid w:val="00C65BBA"/>
    <w:rsid w:val="00C665B8"/>
    <w:rsid w:val="00C70FC2"/>
    <w:rsid w:val="00C72A1D"/>
    <w:rsid w:val="00C72BB6"/>
    <w:rsid w:val="00C7323B"/>
    <w:rsid w:val="00C75FB7"/>
    <w:rsid w:val="00C81512"/>
    <w:rsid w:val="00C86D92"/>
    <w:rsid w:val="00CA2743"/>
    <w:rsid w:val="00CA3833"/>
    <w:rsid w:val="00CA3DE1"/>
    <w:rsid w:val="00CA64C0"/>
    <w:rsid w:val="00CC0625"/>
    <w:rsid w:val="00CD13C1"/>
    <w:rsid w:val="00CD6DBC"/>
    <w:rsid w:val="00CE2A76"/>
    <w:rsid w:val="00CE2E9F"/>
    <w:rsid w:val="00CF0209"/>
    <w:rsid w:val="00CF4CC4"/>
    <w:rsid w:val="00D134A5"/>
    <w:rsid w:val="00D20470"/>
    <w:rsid w:val="00D251B6"/>
    <w:rsid w:val="00D3415D"/>
    <w:rsid w:val="00D4266D"/>
    <w:rsid w:val="00D53457"/>
    <w:rsid w:val="00D607EA"/>
    <w:rsid w:val="00D75ED1"/>
    <w:rsid w:val="00D8733A"/>
    <w:rsid w:val="00D94FEC"/>
    <w:rsid w:val="00D954F6"/>
    <w:rsid w:val="00DA6FE2"/>
    <w:rsid w:val="00DB6E0A"/>
    <w:rsid w:val="00DC2479"/>
    <w:rsid w:val="00DC46EB"/>
    <w:rsid w:val="00DD0238"/>
    <w:rsid w:val="00DD11C4"/>
    <w:rsid w:val="00DF26D4"/>
    <w:rsid w:val="00E03414"/>
    <w:rsid w:val="00E06897"/>
    <w:rsid w:val="00E07025"/>
    <w:rsid w:val="00E14C50"/>
    <w:rsid w:val="00E15530"/>
    <w:rsid w:val="00E15ECC"/>
    <w:rsid w:val="00E223F4"/>
    <w:rsid w:val="00E34D15"/>
    <w:rsid w:val="00E40BEC"/>
    <w:rsid w:val="00E43D06"/>
    <w:rsid w:val="00E50FE5"/>
    <w:rsid w:val="00E52B49"/>
    <w:rsid w:val="00E53588"/>
    <w:rsid w:val="00E54FA5"/>
    <w:rsid w:val="00E62BC4"/>
    <w:rsid w:val="00E643C3"/>
    <w:rsid w:val="00E82630"/>
    <w:rsid w:val="00E83C5F"/>
    <w:rsid w:val="00E91728"/>
    <w:rsid w:val="00E92CCA"/>
    <w:rsid w:val="00EA5CAE"/>
    <w:rsid w:val="00EA6570"/>
    <w:rsid w:val="00EB1E90"/>
    <w:rsid w:val="00EB4002"/>
    <w:rsid w:val="00EC1218"/>
    <w:rsid w:val="00ED05A1"/>
    <w:rsid w:val="00ED103E"/>
    <w:rsid w:val="00ED6E74"/>
    <w:rsid w:val="00EE1745"/>
    <w:rsid w:val="00EE47DC"/>
    <w:rsid w:val="00EE72D3"/>
    <w:rsid w:val="00EE7D79"/>
    <w:rsid w:val="00EE7D80"/>
    <w:rsid w:val="00EF0315"/>
    <w:rsid w:val="00EF4900"/>
    <w:rsid w:val="00EF7E6C"/>
    <w:rsid w:val="00F068C0"/>
    <w:rsid w:val="00F06FCC"/>
    <w:rsid w:val="00F11AAB"/>
    <w:rsid w:val="00F265DA"/>
    <w:rsid w:val="00F44BBC"/>
    <w:rsid w:val="00F456FA"/>
    <w:rsid w:val="00F52D23"/>
    <w:rsid w:val="00F61E92"/>
    <w:rsid w:val="00F62027"/>
    <w:rsid w:val="00F708E1"/>
    <w:rsid w:val="00F71B51"/>
    <w:rsid w:val="00F7495A"/>
    <w:rsid w:val="00F7579A"/>
    <w:rsid w:val="00F77346"/>
    <w:rsid w:val="00F816B6"/>
    <w:rsid w:val="00F8447E"/>
    <w:rsid w:val="00FA1A31"/>
    <w:rsid w:val="00FA56EF"/>
    <w:rsid w:val="00FA5CE6"/>
    <w:rsid w:val="00FB0F39"/>
    <w:rsid w:val="00FB2757"/>
    <w:rsid w:val="00FB4294"/>
    <w:rsid w:val="00FB6DD8"/>
    <w:rsid w:val="00FC2822"/>
    <w:rsid w:val="00FD0CCC"/>
    <w:rsid w:val="00FD4352"/>
    <w:rsid w:val="00FE5736"/>
    <w:rsid w:val="00FF266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736FD8"/>
  <w15:chartTrackingRefBased/>
  <w15:docId w15:val="{6DAEDFFF-63FF-483B-B0DE-7268C344A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601D"/>
    <w:rPr>
      <w:sz w:val="28"/>
      <w:szCs w:val="24"/>
      <w:lang w:eastAsia="ru-RU"/>
    </w:rPr>
  </w:style>
  <w:style w:type="paragraph" w:styleId="3">
    <w:name w:val="heading 3"/>
    <w:basedOn w:val="a"/>
    <w:qFormat/>
    <w:rsid w:val="0016270A"/>
    <w:pPr>
      <w:spacing w:before="100" w:beforeAutospacing="1" w:after="100" w:afterAutospacing="1"/>
      <w:outlineLvl w:val="2"/>
    </w:pPr>
    <w:rPr>
      <w:b/>
      <w:bCs/>
      <w:sz w:val="27"/>
      <w:szCs w:val="27"/>
      <w:lang w:val="ru-RU"/>
    </w:rPr>
  </w:style>
  <w:style w:type="paragraph" w:styleId="4">
    <w:name w:val="heading 4"/>
    <w:basedOn w:val="a"/>
    <w:next w:val="a"/>
    <w:link w:val="40"/>
    <w:unhideWhenUsed/>
    <w:qFormat/>
    <w:rsid w:val="00C70FC2"/>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84601D"/>
    <w:pPr>
      <w:jc w:val="center"/>
    </w:pPr>
    <w:rPr>
      <w:b/>
      <w:szCs w:val="20"/>
    </w:rPr>
  </w:style>
  <w:style w:type="paragraph" w:styleId="2">
    <w:name w:val="Body Text 2"/>
    <w:basedOn w:val="a"/>
    <w:rsid w:val="0084601D"/>
    <w:pPr>
      <w:jc w:val="both"/>
    </w:pPr>
    <w:rPr>
      <w:szCs w:val="20"/>
    </w:rPr>
  </w:style>
  <w:style w:type="paragraph" w:styleId="a4">
    <w:name w:val="Body Text Indent"/>
    <w:basedOn w:val="a"/>
    <w:rsid w:val="0084601D"/>
    <w:pPr>
      <w:spacing w:before="120"/>
      <w:ind w:firstLine="720"/>
      <w:jc w:val="both"/>
    </w:pPr>
    <w:rPr>
      <w:color w:val="800080"/>
      <w:szCs w:val="20"/>
    </w:rPr>
  </w:style>
  <w:style w:type="paragraph" w:styleId="a5">
    <w:name w:val="Balloon Text"/>
    <w:basedOn w:val="a"/>
    <w:semiHidden/>
    <w:rsid w:val="00C22852"/>
    <w:rPr>
      <w:rFonts w:ascii="Tahoma" w:hAnsi="Tahoma" w:cs="Tahoma"/>
      <w:sz w:val="16"/>
      <w:szCs w:val="16"/>
    </w:rPr>
  </w:style>
  <w:style w:type="character" w:customStyle="1" w:styleId="FontStyle17">
    <w:name w:val="Font Style17"/>
    <w:basedOn w:val="a0"/>
    <w:rsid w:val="00B5163E"/>
    <w:rPr>
      <w:rFonts w:ascii="Consolas" w:hAnsi="Consolas" w:cs="Consolas"/>
      <w:color w:val="000000"/>
      <w:sz w:val="20"/>
      <w:szCs w:val="20"/>
    </w:rPr>
  </w:style>
  <w:style w:type="character" w:customStyle="1" w:styleId="40">
    <w:name w:val="Заголовок 4 Знак"/>
    <w:basedOn w:val="a0"/>
    <w:link w:val="4"/>
    <w:rsid w:val="00C70FC2"/>
    <w:rPr>
      <w:rFonts w:asciiTheme="majorHAnsi" w:eastAsiaTheme="majorEastAsia" w:hAnsiTheme="majorHAnsi" w:cstheme="majorBidi"/>
      <w:i/>
      <w:iCs/>
      <w:color w:val="2E74B5" w:themeColor="accent1" w:themeShade="BF"/>
      <w:sz w:val="28"/>
      <w:szCs w:val="24"/>
      <w:lang w:eastAsia="ru-RU"/>
    </w:rPr>
  </w:style>
  <w:style w:type="character" w:customStyle="1" w:styleId="apple-converted-space">
    <w:name w:val="apple-converted-space"/>
    <w:basedOn w:val="a0"/>
    <w:rsid w:val="008F3678"/>
  </w:style>
  <w:style w:type="paragraph" w:styleId="a6">
    <w:name w:val="header"/>
    <w:basedOn w:val="a"/>
    <w:link w:val="a7"/>
    <w:uiPriority w:val="99"/>
    <w:rsid w:val="009F2782"/>
    <w:pPr>
      <w:tabs>
        <w:tab w:val="center" w:pos="4677"/>
        <w:tab w:val="right" w:pos="9355"/>
      </w:tabs>
    </w:pPr>
    <w:rPr>
      <w:rFonts w:ascii="Calibri" w:eastAsia="Calibri" w:hAnsi="Calibri"/>
      <w:sz w:val="22"/>
      <w:szCs w:val="22"/>
      <w:lang w:val="ru-RU" w:eastAsia="en-US"/>
    </w:rPr>
  </w:style>
  <w:style w:type="character" w:customStyle="1" w:styleId="a7">
    <w:name w:val="Верхній колонтитул Знак"/>
    <w:basedOn w:val="a0"/>
    <w:link w:val="a6"/>
    <w:uiPriority w:val="99"/>
    <w:rsid w:val="009F2782"/>
    <w:rPr>
      <w:rFonts w:ascii="Calibri" w:eastAsia="Calibri" w:hAnsi="Calibri"/>
      <w:sz w:val="22"/>
      <w:szCs w:val="22"/>
      <w:lang w:val="ru-RU" w:eastAsia="en-US"/>
    </w:rPr>
  </w:style>
  <w:style w:type="table" w:styleId="a8">
    <w:name w:val="Table Grid"/>
    <w:basedOn w:val="a1"/>
    <w:uiPriority w:val="99"/>
    <w:rsid w:val="008F38CB"/>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836551">
      <w:bodyDiv w:val="1"/>
      <w:marLeft w:val="0"/>
      <w:marRight w:val="0"/>
      <w:marTop w:val="0"/>
      <w:marBottom w:val="0"/>
      <w:divBdr>
        <w:top w:val="none" w:sz="0" w:space="0" w:color="auto"/>
        <w:left w:val="none" w:sz="0" w:space="0" w:color="auto"/>
        <w:bottom w:val="none" w:sz="0" w:space="0" w:color="auto"/>
        <w:right w:val="none" w:sz="0" w:space="0" w:color="auto"/>
      </w:divBdr>
    </w:div>
    <w:div w:id="518080884">
      <w:bodyDiv w:val="1"/>
      <w:marLeft w:val="0"/>
      <w:marRight w:val="0"/>
      <w:marTop w:val="0"/>
      <w:marBottom w:val="0"/>
      <w:divBdr>
        <w:top w:val="none" w:sz="0" w:space="0" w:color="auto"/>
        <w:left w:val="none" w:sz="0" w:space="0" w:color="auto"/>
        <w:bottom w:val="none" w:sz="0" w:space="0" w:color="auto"/>
        <w:right w:val="none" w:sz="0" w:space="0" w:color="auto"/>
      </w:divBdr>
    </w:div>
    <w:div w:id="1064765826">
      <w:bodyDiv w:val="1"/>
      <w:marLeft w:val="0"/>
      <w:marRight w:val="0"/>
      <w:marTop w:val="0"/>
      <w:marBottom w:val="0"/>
      <w:divBdr>
        <w:top w:val="none" w:sz="0" w:space="0" w:color="auto"/>
        <w:left w:val="none" w:sz="0" w:space="0" w:color="auto"/>
        <w:bottom w:val="none" w:sz="0" w:space="0" w:color="auto"/>
        <w:right w:val="none" w:sz="0" w:space="0" w:color="auto"/>
      </w:divBdr>
    </w:div>
    <w:div w:id="1213614560">
      <w:bodyDiv w:val="1"/>
      <w:marLeft w:val="0"/>
      <w:marRight w:val="0"/>
      <w:marTop w:val="0"/>
      <w:marBottom w:val="0"/>
      <w:divBdr>
        <w:top w:val="none" w:sz="0" w:space="0" w:color="auto"/>
        <w:left w:val="none" w:sz="0" w:space="0" w:color="auto"/>
        <w:bottom w:val="none" w:sz="0" w:space="0" w:color="auto"/>
        <w:right w:val="none" w:sz="0" w:space="0" w:color="auto"/>
      </w:divBdr>
    </w:div>
    <w:div w:id="1547136747">
      <w:bodyDiv w:val="1"/>
      <w:marLeft w:val="0"/>
      <w:marRight w:val="0"/>
      <w:marTop w:val="0"/>
      <w:marBottom w:val="0"/>
      <w:divBdr>
        <w:top w:val="none" w:sz="0" w:space="0" w:color="auto"/>
        <w:left w:val="none" w:sz="0" w:space="0" w:color="auto"/>
        <w:bottom w:val="none" w:sz="0" w:space="0" w:color="auto"/>
        <w:right w:val="none" w:sz="0" w:space="0" w:color="auto"/>
      </w:divBdr>
    </w:div>
    <w:div w:id="1618758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2</Pages>
  <Words>3368</Words>
  <Characters>1920</Characters>
  <Application>Microsoft Office Word</Application>
  <DocSecurity>0</DocSecurity>
  <Lines>16</Lines>
  <Paragraphs>10</Paragraphs>
  <ScaleCrop>false</ScaleCrop>
  <HeadingPairs>
    <vt:vector size="2" baseType="variant">
      <vt:variant>
        <vt:lpstr>Назва</vt:lpstr>
      </vt:variant>
      <vt:variant>
        <vt:i4>1</vt:i4>
      </vt:variant>
    </vt:vector>
  </HeadingPairs>
  <TitlesOfParts>
    <vt:vector size="1" baseType="lpstr">
      <vt:lpstr>Міністерство фінансів України</vt:lpstr>
    </vt:vector>
  </TitlesOfParts>
  <Company>Verkhovna_Rada</Company>
  <LinksUpToDate>false</LinksUpToDate>
  <CharactersWithSpaces>5278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фінансів України</dc:title>
  <dc:subject/>
  <dc:creator>user</dc:creator>
  <cp:keywords/>
  <dc:description/>
  <cp:lastModifiedBy>Наталя Василівна Кочергіна</cp:lastModifiedBy>
  <cp:revision>9</cp:revision>
  <cp:lastPrinted>2022-01-19T10:45:00Z</cp:lastPrinted>
  <dcterms:created xsi:type="dcterms:W3CDTF">2022-01-19T10:09:00Z</dcterms:created>
  <dcterms:modified xsi:type="dcterms:W3CDTF">2022-01-31T10:24:00Z</dcterms:modified>
</cp:coreProperties>
</file>