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F22" w:rsidRPr="0084216B" w:rsidRDefault="00B31F22" w:rsidP="00B31F22">
      <w:pPr>
        <w:ind w:firstLine="709"/>
        <w:jc w:val="right"/>
        <w:rPr>
          <w:spacing w:val="-2"/>
          <w:sz w:val="20"/>
        </w:rPr>
      </w:pPr>
      <w:bookmarkStart w:id="0" w:name="_GoBack"/>
      <w:r w:rsidRPr="0084216B">
        <w:rPr>
          <w:spacing w:val="-2"/>
          <w:sz w:val="20"/>
        </w:rPr>
        <w:t xml:space="preserve">До реєстр. № </w:t>
      </w:r>
      <w:r w:rsidR="008F3F1D">
        <w:rPr>
          <w:spacing w:val="-2"/>
          <w:sz w:val="20"/>
        </w:rPr>
        <w:t>3</w:t>
      </w:r>
      <w:r>
        <w:rPr>
          <w:spacing w:val="-2"/>
          <w:sz w:val="20"/>
        </w:rPr>
        <w:t>1</w:t>
      </w:r>
      <w:r w:rsidR="00886DE9">
        <w:rPr>
          <w:spacing w:val="-2"/>
          <w:sz w:val="20"/>
          <w:lang w:val="en-US"/>
        </w:rPr>
        <w:t>12</w:t>
      </w:r>
      <w:r w:rsidRPr="0084216B">
        <w:rPr>
          <w:spacing w:val="-2"/>
          <w:sz w:val="20"/>
        </w:rPr>
        <w:t xml:space="preserve"> від </w:t>
      </w:r>
      <w:r w:rsidR="00886DE9">
        <w:rPr>
          <w:spacing w:val="-2"/>
          <w:sz w:val="20"/>
          <w:lang w:val="en-US"/>
        </w:rPr>
        <w:t>16</w:t>
      </w:r>
      <w:r w:rsidRPr="0084216B">
        <w:rPr>
          <w:spacing w:val="-2"/>
          <w:sz w:val="20"/>
        </w:rPr>
        <w:t>.</w:t>
      </w:r>
      <w:r w:rsidR="00886DE9">
        <w:rPr>
          <w:spacing w:val="-2"/>
          <w:sz w:val="20"/>
          <w:lang w:val="en-US"/>
        </w:rPr>
        <w:t>09</w:t>
      </w:r>
      <w:r w:rsidRPr="0084216B">
        <w:rPr>
          <w:spacing w:val="-2"/>
          <w:sz w:val="20"/>
        </w:rPr>
        <w:t>.2015 р.</w:t>
      </w:r>
    </w:p>
    <w:p w:rsidR="00B31F22" w:rsidRPr="0084216B" w:rsidRDefault="00B31F22" w:rsidP="00B31F22">
      <w:pPr>
        <w:ind w:firstLine="709"/>
        <w:jc w:val="right"/>
        <w:rPr>
          <w:spacing w:val="-2"/>
          <w:sz w:val="20"/>
        </w:rPr>
      </w:pPr>
    </w:p>
    <w:p w:rsidR="00B31F22" w:rsidRDefault="00B31F22" w:rsidP="00B31F22">
      <w:pPr>
        <w:ind w:firstLine="709"/>
        <w:jc w:val="right"/>
        <w:rPr>
          <w:b/>
          <w:spacing w:val="-2"/>
          <w:szCs w:val="28"/>
        </w:rPr>
      </w:pPr>
    </w:p>
    <w:p w:rsidR="00B31F22" w:rsidRDefault="00B31F22" w:rsidP="00B31F22">
      <w:pPr>
        <w:ind w:firstLine="709"/>
        <w:jc w:val="right"/>
        <w:rPr>
          <w:b/>
          <w:spacing w:val="-2"/>
          <w:szCs w:val="28"/>
        </w:rPr>
      </w:pPr>
    </w:p>
    <w:p w:rsidR="00B31F22" w:rsidRDefault="00B31F22" w:rsidP="00B31F22">
      <w:pPr>
        <w:ind w:firstLine="709"/>
        <w:jc w:val="right"/>
        <w:rPr>
          <w:b/>
          <w:spacing w:val="-2"/>
          <w:szCs w:val="28"/>
        </w:rPr>
      </w:pPr>
    </w:p>
    <w:p w:rsidR="00B31F22" w:rsidRDefault="00B31F22" w:rsidP="00B31F22">
      <w:pPr>
        <w:ind w:firstLine="709"/>
        <w:jc w:val="right"/>
        <w:rPr>
          <w:b/>
          <w:spacing w:val="-2"/>
          <w:szCs w:val="28"/>
        </w:rPr>
      </w:pPr>
    </w:p>
    <w:p w:rsidR="00B31F22" w:rsidRDefault="00B31F22" w:rsidP="00B31F22">
      <w:pPr>
        <w:ind w:firstLine="709"/>
        <w:jc w:val="right"/>
        <w:rPr>
          <w:b/>
          <w:spacing w:val="-2"/>
          <w:szCs w:val="28"/>
        </w:rPr>
      </w:pPr>
    </w:p>
    <w:p w:rsidR="00B31F22" w:rsidRDefault="00B31F22" w:rsidP="00B31F22">
      <w:pPr>
        <w:ind w:firstLine="709"/>
        <w:jc w:val="right"/>
        <w:rPr>
          <w:b/>
          <w:spacing w:val="-2"/>
          <w:szCs w:val="28"/>
        </w:rPr>
      </w:pPr>
    </w:p>
    <w:p w:rsidR="00B31F22" w:rsidRDefault="00B31F22" w:rsidP="00B31F22">
      <w:pPr>
        <w:ind w:firstLine="709"/>
        <w:jc w:val="right"/>
        <w:rPr>
          <w:b/>
          <w:spacing w:val="-2"/>
          <w:szCs w:val="28"/>
        </w:rPr>
      </w:pPr>
    </w:p>
    <w:p w:rsidR="00B31F22" w:rsidRPr="002E6C1F" w:rsidRDefault="00B31F22" w:rsidP="00B31F22">
      <w:pPr>
        <w:ind w:firstLine="709"/>
        <w:jc w:val="right"/>
        <w:rPr>
          <w:b/>
          <w:spacing w:val="-2"/>
          <w:szCs w:val="28"/>
        </w:rPr>
      </w:pPr>
      <w:r w:rsidRPr="00D50403">
        <w:rPr>
          <w:b/>
          <w:spacing w:val="-2"/>
          <w:szCs w:val="28"/>
        </w:rPr>
        <w:t>В</w:t>
      </w:r>
      <w:r w:rsidRPr="002E6C1F">
        <w:rPr>
          <w:b/>
          <w:spacing w:val="-2"/>
          <w:szCs w:val="28"/>
        </w:rPr>
        <w:t>ерховна Рада України</w:t>
      </w:r>
    </w:p>
    <w:p w:rsidR="00B31F22" w:rsidRDefault="00B31F22" w:rsidP="00B31F22">
      <w:pPr>
        <w:ind w:firstLine="709"/>
        <w:jc w:val="right"/>
        <w:rPr>
          <w:spacing w:val="-2"/>
          <w:szCs w:val="28"/>
        </w:rPr>
      </w:pPr>
    </w:p>
    <w:p w:rsidR="00B31F22" w:rsidRPr="002E6C1F" w:rsidRDefault="00B31F22" w:rsidP="00B31F22">
      <w:pPr>
        <w:ind w:firstLine="709"/>
        <w:jc w:val="right"/>
        <w:rPr>
          <w:spacing w:val="-2"/>
          <w:szCs w:val="28"/>
        </w:rPr>
      </w:pP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zCs w:val="28"/>
        </w:rPr>
        <w:t xml:space="preserve">За дорученням Голови Верховної Ради України від 16 вересня 2015 року </w:t>
      </w:r>
      <w:r w:rsidRPr="00886DE9">
        <w:rPr>
          <w:spacing w:val="-2"/>
          <w:szCs w:val="28"/>
        </w:rPr>
        <w:t>Комітет з питань правової політики та правосуддя розглянув на своєму засіданні 22 лютого 2017 року (протокол № 56) проект Виборчого кодексу України (реєстр. №3112 від 16 вересня 2015 року), поданий народним депутатом України Писаренком В.В. (далі – Проект).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>Згідно з пояснювальною запискою до Проекту він розроблений з метою систематизації виборчого законодавства шляхом його зведення в єдиний нормативно-правовий акт, що забезпечить уніфіковане законодавче регулювання підготовки і проведення виборів в Україні, відповідно до Конституції України та рекомендацій міжнародних організацій.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 xml:space="preserve">Для досягнення мети автором пропонується удосконалити виборче законодавство шляхом його кодифікації та змістовного оновлення низки інститутів. 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 xml:space="preserve">Проект складається з трьох книг, тринадцяти розділів, 42 глав та 470 статей та передбачає регулювання виборів Президента України, народних депутатів України, депутатів Верховної Ради Автономної Республіки Крим, місцевих рад, сільських, селищних, міських голів, </w:t>
      </w:r>
      <w:proofErr w:type="spellStart"/>
      <w:r w:rsidRPr="00886DE9">
        <w:rPr>
          <w:spacing w:val="-2"/>
          <w:szCs w:val="28"/>
        </w:rPr>
        <w:t>старост</w:t>
      </w:r>
      <w:proofErr w:type="spellEnd"/>
      <w:r w:rsidRPr="00886DE9">
        <w:rPr>
          <w:spacing w:val="-2"/>
          <w:szCs w:val="28"/>
        </w:rPr>
        <w:t>, вибори депутатів районних та обласних рад, а також питань функціонування Державного реєстру виборців.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 xml:space="preserve">Щодо виборів народних депутатів України Проектом пропонується запровадити пряму пропорційну систему за відкритими виборчими списками кандидатів у депутати від політичних партій – суб’єктів виборчого процесу у загальнодержавному багатомандатному виборчому окрузі, поділеному на 450 територіальних виборчих округів. При цьому висування кандидатів у депутати здійснюється у вигляді загальнодержавного виборчого списку кандидатів у депутати (від партії не більше 450) в розрізі територіальних виборчих округів.  У виборчому бюлетені для голосування в територіальному виборчому окрузі зазначаються в алфавітному порядку прізвища, власні імена (усі власні імена) та по батькові (за наявності) зареєстрованих у цьому окрузі кандидатів у депутати з відомостями про рік народження, освіту, посаду (заняття), місце роботи, місце проживання, партійність, а також повна назва партії, що є суб'єктом висування кожного кандидата. Право на участь у розподілі депутатських мандатів набувають партії, що за сумарною кількістю отриманих </w:t>
      </w:r>
      <w:r w:rsidRPr="00886DE9">
        <w:rPr>
          <w:spacing w:val="-2"/>
          <w:szCs w:val="28"/>
        </w:rPr>
        <w:lastRenderedPageBreak/>
        <w:t xml:space="preserve">висунутими ними кандидатами у депутати дійсних голосів виборців отримали три і більше відсотки дійсних голосів виборців у відношенні до сумарної кількості дійсних голосів виборців, поданих за кандидатів у депутати від усіх партій. Для визначення черговості кандидатів у виборчих списках при встановленні результатів виборів Центральна виборча комісія </w:t>
      </w:r>
      <w:proofErr w:type="spellStart"/>
      <w:r w:rsidRPr="00886DE9">
        <w:rPr>
          <w:spacing w:val="-2"/>
          <w:szCs w:val="28"/>
        </w:rPr>
        <w:t>ранжує</w:t>
      </w:r>
      <w:proofErr w:type="spellEnd"/>
      <w:r w:rsidRPr="00886DE9">
        <w:rPr>
          <w:spacing w:val="-2"/>
          <w:szCs w:val="28"/>
        </w:rPr>
        <w:t xml:space="preserve"> кандидатів у депутати у загальнодержавних списках партій, що набули право на участь у розподілі депутатських мандатів, за кількістю голосів, відданих на підтримку відповідного кандидата у депутати у відповідних територіальних виборчих округах, встановлюючи йому рейтинговий номер у загальнодержавному списку партії (стаття 334).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 xml:space="preserve">За аналогічною виборчою системою пропонується проводити і вибори депутатів Верховної Ради Автономної Республіки Крим, обласних, Київської та Севастопольської міських рад (Зокрема, статті 344, 382), а вибори депутатів районних рад – за мажоритарною виборчою системою відносної більшості по багатомандатних виборчих округах, межі яких збігаються з межами територіальних громад, що входять до складу району (стаття 386). 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 xml:space="preserve">Вибори депутатів сільських, селищних, міських (крім, міст Києва та Севастополя) районних у містах рад пропонується проводити за мажоритарною системою відносної більшості в одномандатних виборчих округах, на які поділяється територія відповідно села, селища, району у місті, міста. 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 xml:space="preserve">Вибори міських голів міст, які є обласними центрами, та міських голів Києва та Севастополя, пропонується проводити за мажоритарною системою абсолютної більшості в єдиному міському одномандатному виборчому окрузі, межі якого збігаються з межами відповідного міста або територією міської територіальної громади, а вибори сільських, селищних, міських (у містах крім міст, які є обласними центрами, Києва та Севастополя) голів, </w:t>
      </w:r>
      <w:proofErr w:type="spellStart"/>
      <w:r w:rsidRPr="00886DE9">
        <w:rPr>
          <w:spacing w:val="-2"/>
          <w:szCs w:val="28"/>
        </w:rPr>
        <w:t>старост</w:t>
      </w:r>
      <w:proofErr w:type="spellEnd"/>
      <w:r w:rsidRPr="00886DE9">
        <w:rPr>
          <w:spacing w:val="-2"/>
          <w:szCs w:val="28"/>
        </w:rPr>
        <w:t>, - за мажоритарною системою відносної більшості в єдиному сільському, селищному, міському одномандатному виборчому окрузі, межі якого збігаються з межами відповідного села (територією сільської територіальної громади), селища (територією селищної територіальної громади), міста (територією міської територіальної громади) (стаття 426).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>Передбачається, що питання діяльності Центральної виборчої комісії, її правового статусу (завдання, порядок формування, відповідальність тощо) регулюються Законом України "Про Центральну виборчу комісію", при цьому Проектом пропонуються додаткові повноваження Центральної виборчої комісії, зокрема у частині четвертій статті 51.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>Крім того, у разі набрання чинності кодексом, запропоновано щоб закони України "Про вибори Президента України", "Про вибори народних депутатів України", "Про місцеві вибори", "Про Державний реєстр виборців" втратили чинність.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>Розглядаючи Проект, Комітет з питань правової політики та правосуддя виходить з такого.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 xml:space="preserve">У Основному Законі України визначається, що Україна є демократичною, правовою державою (стаття 1); носієм суверенітету і єдиним джерелом влади в Україні є народ, який здійснює владу безпосередньо і через органи державної </w:t>
      </w:r>
      <w:r w:rsidRPr="00886DE9">
        <w:rPr>
          <w:spacing w:val="-2"/>
          <w:szCs w:val="28"/>
        </w:rPr>
        <w:lastRenderedPageBreak/>
        <w:t>влади та органи місцевого самоврядування (стаття 5); Конституція України має найвищу юридичну силу, закони та інші нормативно-правові акти приймаються на основі Конституції України і повинні відповідати їй (частина друга статті 8); органи державної влади, у тому числі й Верховна Рада України, їх посадові особи зобов’язані діяти лише на підставі, в межах повноважень та у спосіб, що передбачені Конституцією та законами України (частина друга статті 6, частина друга статті 19).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>За приписами частини першої статті 38 Конституції України громадяни мають право брати участь в управлінні державними справами, вільно обирати і бути обраними до органів державної влади та органів місцевого самоврядування.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 xml:space="preserve">Відповідно до статей 69 та 71 Конституції України народне волевиявлення здійснюється через вибори, референдум та інші форми безпосередньої демократії. Вибори до органів державної влади та органів місцевого самоврядування є вільними і відбуваються на основі загального, рівного і прямого виборчого права шляхом таємного голосування. Виборцям гарантується вільне волевиявлення. Пунктом 20 частини першої статті 92 Конституції України передбачено, що організація і порядок проведення виборів і референдумів визначаються виключно законами України. 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>Конституційний принцип рівного виборчого права зобов’язує державу створити рівні умови для реалізації активного та пасивного виборчого права на всіх стадіях виборчого процесу, а також рівні можливості для їх захисту в порядку, передбаченому законом (абзац другий пункту 4 мотивувальної частини Рішення Конституційного Суду України від 4 квітня 2012 року № 7-рп/2012).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>У статті 3 Першого протоколу до Конвенції про захист прав людини і основоположних свобод 1950 року закріплено, що вибори мають проводитися з розумною періодичністю шляхом таємного голосування в умовах, які забезпечують вільне вираження думки народу у виборі законодавчого органу.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>Застосування принципу періодичності проведення виборів згідно з міжнародними актами є важливою складовою їх демократичності. Зокрема, у статті 25 Міжнародного пакту про громадянські і політичні права 1966 року вказано, що кожен громадянин повинен мати можливість голосувати і бути обраним на справжніх періодичних виборах (абзац п’ятий пункту 3 мотивувальної частини Рішення Конституційного Суду України від 4 червня 2009 року № 13-рп/2009).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 xml:space="preserve">Європейська комісія "За демократію через право" (Венеціанська комісія) в своїх рекомендаціях зазначає, що вибори, які відповідають спільним для європейського доробку засадам, на які спирається справді демократичне суспільство, мають проводитися з дотриманням таких основних норм: виборче право має бути загальним, рівним, вільним і прямим при таємному голосуванні. Крім того, вибори мають проводитися регулярно. За умови дотримання згаданих принципів застережень щодо вибору будь-якої виборчої системи немає (розділ І, підпункт 4 розділу ІІ Керівних принципів щодо виборів, прийнятих на 51-й пленарній сесії, 5-6 липня 2002 року).  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lastRenderedPageBreak/>
        <w:t xml:space="preserve">Також, Венеціанська комісія звертає увагу на те, що найбільш принципові норми виборчого законодавства, зокрема ті, що регулюють саму виборчу систему, склад виборчих комісій і визначення меж виборчих округів, доцільно закріплювати в конституції або в акті, що має вищий статус, аніж звичайний закон (пункт 66 Пояснювальної доповіді до зазначених вище Керівних принципів щодо виборів). 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 xml:space="preserve">Загалом підтримуючи доцільність уніфікації виборчого законодавства, вважаємо за необхідне зазначити, що у Проекті пропонується застосування різних моделей виборчих систем (у тому числі й нових) стосовно виборів народних депутатів України, депутатів Верховної Ради Автономної Республіки Крим, депутатів сільських, селищних, міських, районних, обласних та районних у містах рад, а також виборів сільських, селищних, міських голів, </w:t>
      </w:r>
      <w:proofErr w:type="spellStart"/>
      <w:r w:rsidRPr="00886DE9">
        <w:rPr>
          <w:spacing w:val="-2"/>
          <w:szCs w:val="28"/>
        </w:rPr>
        <w:t>старост</w:t>
      </w:r>
      <w:proofErr w:type="spellEnd"/>
      <w:r w:rsidRPr="00886DE9">
        <w:rPr>
          <w:spacing w:val="-2"/>
          <w:szCs w:val="28"/>
        </w:rPr>
        <w:t xml:space="preserve">.  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 xml:space="preserve">Слід звернути увагу на те, що аналізуючи критерії для вибору конкретної виборчої системи та наслідки такого вибору Венеціанська комісія прийшла до таких висновків: "немає жодних підстав, щоб зробити абсолютний вибір на користь будь-якої конкретної виборчої системи. Кожна має свої переваги і свої недоліки, які варіюються залежно від того, які функції, що їх виконує виборча система, є предметом розгляду. Жодна виборча система не може бути найкращою або найгіршою чи хоча б хорошою або поганою. Для того щоб оцінити її якість, необхідно точно знати, що від неї очікується – що в першу чергу очікується, – оцінюючи те, яким чином вона виконує свої різні, часом суперечливі функції, а саме функції виборчої системи в контексті демократичної політичної системи" (пункт 87 та 114 частини другої Доповіді про виборчі системи: огляд можливих </w:t>
      </w:r>
      <w:proofErr w:type="spellStart"/>
      <w:r w:rsidRPr="00886DE9">
        <w:rPr>
          <w:spacing w:val="-2"/>
          <w:szCs w:val="28"/>
        </w:rPr>
        <w:t>розв’язків</w:t>
      </w:r>
      <w:proofErr w:type="spellEnd"/>
      <w:r w:rsidRPr="00886DE9">
        <w:rPr>
          <w:spacing w:val="-2"/>
          <w:szCs w:val="28"/>
        </w:rPr>
        <w:t xml:space="preserve"> та критерії вибору, ухваленої на 57 пленарній сесії 12-13 грудня 2003 року).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>Одним з основних критеріїв, якими мають керуватися держави при зміні чи вдосконаленні виборчої системи та її компонентів – це критерій доцільності. Так, Конституційний Суд України в своєму Рішенні від 26 лютого 1998 року № 1-рп (справа про вибори народних депутатів України) дійшов висновку, що визначення компонентів виборчої системи є питанням політичної доцільності і воно має вирішуватися Верховною Радою України (абзац третій пункту 5 мотивувальної частини Рішення).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 xml:space="preserve">У висновку Комітету Верховної Ради України з питань запобігання і протидії корупції зазначається, що проект </w:t>
      </w:r>
      <w:proofErr w:type="spellStart"/>
      <w:r w:rsidRPr="00886DE9">
        <w:rPr>
          <w:spacing w:val="-2"/>
          <w:szCs w:val="28"/>
        </w:rPr>
        <w:t>акта</w:t>
      </w:r>
      <w:proofErr w:type="spellEnd"/>
      <w:r w:rsidRPr="00886DE9">
        <w:rPr>
          <w:spacing w:val="-2"/>
          <w:szCs w:val="28"/>
        </w:rPr>
        <w:t xml:space="preserve"> відповідає вимогам антикорупційного законодавства. Разом з тим, Комітетом висловлені окремі зауваження до Проекту.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 xml:space="preserve">Комітет з питань бюджету визначив, що Законопроект матиме вплив на показники бюджету (призведе до збільшення видатків державного та місцевих бюджетів та може зумовити зменшення доходів державного бюджету). У разі прийняття відповідного закону до 15 липня 2016 року він має вводитися в дію не раніше 1 січня 2017 року, а після 15 липня 2016 року - не раніше 1 січня 2018 року (або 1 січня наступного за цим року залежно від часу прийняття закону). Рекомендувати Комітету з питань, правової політики та правосуддя при доопрацюванні законопроекту до другого читання виключити частини 3 та 10 статті 144, як такі, шо унормовуються лише Бюджетним кодексом України та </w:t>
      </w:r>
      <w:r w:rsidRPr="00886DE9">
        <w:rPr>
          <w:spacing w:val="-2"/>
          <w:szCs w:val="28"/>
        </w:rPr>
        <w:lastRenderedPageBreak/>
        <w:t xml:space="preserve">Законом про Державний бюджет України, а також узгодити з бюджетною термінологією текст законопроекту. </w:t>
      </w:r>
    </w:p>
    <w:p w:rsidR="00886DE9" w:rsidRP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>Комітет Верховної Ради України з питань європейської інтеграції дійшов висновку, що Законопроект не належить до пріоритетних сфер адаптації законодавства ЄС, а отже, не потребує експертного висновку цього Комітету.</w:t>
      </w:r>
    </w:p>
    <w:p w:rsid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>На підставі викладеного вище, а також беручи до уваги, що питання уніфікації законодавства, яке визначає основні засади, організацію і порядок проведення виборів в Україні є надзвичайно важливим, актуальним та потребує подаль</w:t>
      </w:r>
      <w:r>
        <w:rPr>
          <w:spacing w:val="-2"/>
          <w:szCs w:val="28"/>
        </w:rPr>
        <w:t>шого розгляду, Комітет вирішив р</w:t>
      </w:r>
      <w:r w:rsidRPr="00886DE9">
        <w:rPr>
          <w:spacing w:val="-2"/>
          <w:szCs w:val="28"/>
        </w:rPr>
        <w:t>екомендувати Верховній Раді України прийняти рішення щодо проекту Виборчого кодексу України (реєстр. №3112 від 16 вересня 2015 року), поданого народн</w:t>
      </w:r>
      <w:r>
        <w:rPr>
          <w:spacing w:val="-2"/>
          <w:szCs w:val="28"/>
        </w:rPr>
        <w:t>им депутатом України Писаренком </w:t>
      </w:r>
      <w:r w:rsidRPr="00886DE9">
        <w:rPr>
          <w:spacing w:val="-2"/>
          <w:szCs w:val="28"/>
        </w:rPr>
        <w:t>В.В., в</w:t>
      </w:r>
      <w:r>
        <w:rPr>
          <w:spacing w:val="-2"/>
          <w:szCs w:val="28"/>
        </w:rPr>
        <w:t>изначившись шляхом голосування.</w:t>
      </w:r>
    </w:p>
    <w:p w:rsidR="00886DE9" w:rsidRDefault="00886DE9" w:rsidP="00886DE9">
      <w:pPr>
        <w:ind w:firstLine="709"/>
        <w:jc w:val="both"/>
        <w:rPr>
          <w:spacing w:val="-2"/>
          <w:szCs w:val="28"/>
        </w:rPr>
      </w:pPr>
      <w:r w:rsidRPr="00886DE9">
        <w:rPr>
          <w:spacing w:val="-2"/>
          <w:szCs w:val="28"/>
        </w:rPr>
        <w:t>Доповідачем від Комітету з цього питання під час розгляду на пленарному засіданні Верховної Ради України визначити співголову підкомітету з питань виборів і референдумів, народного депутата України Черненка Олександра Миколайовича.</w:t>
      </w:r>
    </w:p>
    <w:p w:rsidR="00B31F22" w:rsidRPr="00886DE9" w:rsidRDefault="00B31F22" w:rsidP="00886DE9">
      <w:pPr>
        <w:ind w:firstLine="709"/>
        <w:jc w:val="both"/>
        <w:rPr>
          <w:spacing w:val="-2"/>
          <w:szCs w:val="28"/>
        </w:rPr>
      </w:pPr>
      <w:r>
        <w:rPr>
          <w:spacing w:val="-4"/>
          <w:szCs w:val="28"/>
        </w:rPr>
        <w:t>Додаючи відповідні матеріали, просимо розглянути.</w:t>
      </w:r>
    </w:p>
    <w:p w:rsidR="00B31F22" w:rsidRPr="00886DE9" w:rsidRDefault="00B31F22" w:rsidP="00B31F22">
      <w:pPr>
        <w:ind w:firstLine="709"/>
        <w:jc w:val="both"/>
        <w:rPr>
          <w:szCs w:val="28"/>
        </w:rPr>
      </w:pPr>
    </w:p>
    <w:p w:rsidR="00B31F22" w:rsidRPr="00886DE9" w:rsidRDefault="00B31F22" w:rsidP="00B31F22">
      <w:pPr>
        <w:ind w:firstLine="709"/>
        <w:jc w:val="both"/>
        <w:rPr>
          <w:szCs w:val="28"/>
        </w:rPr>
      </w:pPr>
    </w:p>
    <w:p w:rsidR="00B31F22" w:rsidRPr="00886DE9" w:rsidRDefault="00B31F22" w:rsidP="00B31F22">
      <w:pPr>
        <w:ind w:firstLine="709"/>
        <w:jc w:val="both"/>
        <w:rPr>
          <w:szCs w:val="28"/>
        </w:rPr>
      </w:pPr>
    </w:p>
    <w:p w:rsidR="00B31F22" w:rsidRDefault="00B31F22" w:rsidP="00B31F22">
      <w:pPr>
        <w:jc w:val="both"/>
      </w:pPr>
      <w:r w:rsidRPr="002E6C1F">
        <w:rPr>
          <w:b/>
          <w:szCs w:val="28"/>
        </w:rPr>
        <w:t>Голова Комітету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    Р.П. КНЯЗЕВИЧ</w:t>
      </w:r>
    </w:p>
    <w:p w:rsidR="00B31F22" w:rsidRDefault="00B31F22" w:rsidP="00B31F22">
      <w:pPr>
        <w:ind w:firstLine="709"/>
      </w:pPr>
    </w:p>
    <w:p w:rsidR="00B31F22" w:rsidRDefault="00B31F22" w:rsidP="00B31F22">
      <w:pPr>
        <w:ind w:firstLine="709"/>
      </w:pPr>
    </w:p>
    <w:p w:rsidR="00B31F22" w:rsidRDefault="00B31F22" w:rsidP="00B31F22">
      <w:pPr>
        <w:ind w:firstLine="709"/>
      </w:pPr>
    </w:p>
    <w:bookmarkEnd w:id="0"/>
    <w:p w:rsidR="00604BB9" w:rsidRDefault="00604BB9"/>
    <w:sectPr w:rsidR="00604BB9" w:rsidSect="00420806">
      <w:footerReference w:type="even" r:id="rId6"/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CC2" w:rsidRDefault="00D72CC2">
      <w:r>
        <w:separator/>
      </w:r>
    </w:p>
  </w:endnote>
  <w:endnote w:type="continuationSeparator" w:id="0">
    <w:p w:rsidR="00D72CC2" w:rsidRDefault="00D72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806" w:rsidRDefault="00785FF8" w:rsidP="0042080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420806" w:rsidRDefault="00D72CC2" w:rsidP="00420806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806" w:rsidRDefault="00785FF8" w:rsidP="0042080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F3F1D">
      <w:rPr>
        <w:rStyle w:val="a5"/>
        <w:noProof/>
      </w:rPr>
      <w:t>5</w:t>
    </w:r>
    <w:r>
      <w:rPr>
        <w:rStyle w:val="a5"/>
      </w:rPr>
      <w:fldChar w:fldCharType="end"/>
    </w:r>
  </w:p>
  <w:p w:rsidR="00420806" w:rsidRDefault="00D72CC2" w:rsidP="0042080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CC2" w:rsidRDefault="00D72CC2">
      <w:r>
        <w:separator/>
      </w:r>
    </w:p>
  </w:footnote>
  <w:footnote w:type="continuationSeparator" w:id="0">
    <w:p w:rsidR="00D72CC2" w:rsidRDefault="00D72C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F22"/>
    <w:rsid w:val="00604BB9"/>
    <w:rsid w:val="00785FF8"/>
    <w:rsid w:val="00886DE9"/>
    <w:rsid w:val="008F3F1D"/>
    <w:rsid w:val="00B31F22"/>
    <w:rsid w:val="00D7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9AABF"/>
  <w15:chartTrackingRefBased/>
  <w15:docId w15:val="{EF96CE72-15B7-4179-A0DD-3D904CFCF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F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31F22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rsid w:val="00B31F2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B31F22"/>
  </w:style>
  <w:style w:type="paragraph" w:styleId="a6">
    <w:name w:val="Balloon Text"/>
    <w:basedOn w:val="a"/>
    <w:link w:val="a7"/>
    <w:uiPriority w:val="99"/>
    <w:semiHidden/>
    <w:unhideWhenUsed/>
    <w:rsid w:val="00886DE9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86DE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7956</Words>
  <Characters>4536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Шараг Катерина Дмитрівна</dc:creator>
  <cp:keywords/>
  <dc:description/>
  <cp:lastModifiedBy>Шараг Катерина Дмитрівна</cp:lastModifiedBy>
  <cp:revision>3</cp:revision>
  <cp:lastPrinted>2017-02-23T08:45:00Z</cp:lastPrinted>
  <dcterms:created xsi:type="dcterms:W3CDTF">2017-02-23T08:25:00Z</dcterms:created>
  <dcterms:modified xsi:type="dcterms:W3CDTF">2017-02-23T08:46:00Z</dcterms:modified>
</cp:coreProperties>
</file>