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BF0BD5" w:rsidRPr="00BF0BD5" w:rsidRDefault="00BF0BD5" w:rsidP="00BF0BD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</w:t>
      </w:r>
      <w:r w:rsidRPr="00BF0BD5">
        <w:rPr>
          <w:color w:val="000000"/>
          <w:sz w:val="28"/>
          <w:szCs w:val="28"/>
          <w:lang w:val="uk-UA"/>
        </w:rPr>
        <w:t xml:space="preserve">Закону України </w:t>
      </w:r>
      <w:proofErr w:type="spellStart"/>
      <w:r w:rsidRPr="00BF0BD5">
        <w:rPr>
          <w:color w:val="000000"/>
          <w:sz w:val="28"/>
          <w:szCs w:val="28"/>
          <w:lang w:val="uk-UA"/>
        </w:rPr>
        <w:t>“Про</w:t>
      </w:r>
      <w:proofErr w:type="spellEnd"/>
      <w:r w:rsidRPr="00BF0BD5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BF0BD5">
        <w:rPr>
          <w:color w:val="000000"/>
          <w:sz w:val="28"/>
          <w:szCs w:val="28"/>
          <w:lang w:val="uk-UA"/>
        </w:rPr>
        <w:t>Союзу”</w:t>
      </w:r>
      <w:proofErr w:type="spellEnd"/>
      <w:r w:rsidRPr="00BF0BD5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BF0BD5" w:rsidRDefault="00BF0BD5" w:rsidP="00BF0BD5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BF0BD5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доповнень до Закону України "Про охорону дитинства" щодо права пільгового проїзду дітьми віком від 6 до 14 років (реєстр.№3141 від 18.09.2015)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</w:t>
      </w:r>
      <w:r w:rsidRPr="00BF0BD5">
        <w:rPr>
          <w:color w:val="000000"/>
          <w:sz w:val="28"/>
          <w:szCs w:val="28"/>
          <w:lang w:val="uk-UA"/>
        </w:rPr>
        <w:t xml:space="preserve"> не потребує експертного висновку </w:t>
      </w:r>
      <w:r w:rsidR="003C63CD" w:rsidRPr="00BF0BD5">
        <w:rPr>
          <w:color w:val="000000"/>
          <w:sz w:val="28"/>
          <w:szCs w:val="28"/>
          <w:lang w:val="uk-UA"/>
        </w:rPr>
        <w:t>Комітету</w:t>
      </w:r>
      <w:r w:rsidR="003C63CD" w:rsidRPr="00BF0BD5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BF0BD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617581"/>
    <w:rsid w:val="007A6E19"/>
    <w:rsid w:val="00BF0BD5"/>
    <w:rsid w:val="00CE6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Company>Krokoz™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2019-04-16T13:01:00Z</dcterms:modified>
</cp:coreProperties>
</file>