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5765" w:rsidRDefault="00B00DB8" w:rsidP="00B00DB8">
      <w:pPr>
        <w:pStyle w:val="3"/>
        <w:spacing w:before="0" w:beforeAutospacing="0" w:after="0" w:afterAutospacing="0"/>
        <w:ind w:right="-5" w:firstLine="709"/>
        <w:jc w:val="right"/>
        <w:rPr>
          <w:rFonts w:ascii="Times New Roman" w:hAnsi="Times New Roman" w:cs="Times New Roman"/>
          <w:b w:val="0"/>
          <w:sz w:val="24"/>
          <w:szCs w:val="24"/>
          <w:lang w:val="uk-UA"/>
        </w:rPr>
      </w:pPr>
      <w:r w:rsidRPr="00BC7DA3">
        <w:rPr>
          <w:rFonts w:ascii="Times New Roman" w:hAnsi="Times New Roman" w:cs="Times New Roman"/>
          <w:b w:val="0"/>
          <w:sz w:val="24"/>
          <w:szCs w:val="24"/>
          <w:lang w:val="uk-UA"/>
        </w:rPr>
        <w:t xml:space="preserve">До </w:t>
      </w:r>
      <w:r w:rsidR="00175765">
        <w:rPr>
          <w:rFonts w:ascii="Times New Roman" w:hAnsi="Times New Roman" w:cs="Times New Roman"/>
          <w:b w:val="0"/>
          <w:sz w:val="24"/>
          <w:szCs w:val="24"/>
          <w:lang w:val="uk-UA"/>
        </w:rPr>
        <w:t xml:space="preserve">проекту Закону України </w:t>
      </w:r>
    </w:p>
    <w:p w:rsidR="00B00DB8" w:rsidRPr="00BC7DA3" w:rsidRDefault="00175765" w:rsidP="00B00DB8">
      <w:pPr>
        <w:pStyle w:val="3"/>
        <w:spacing w:before="0" w:beforeAutospacing="0" w:after="0" w:afterAutospacing="0"/>
        <w:ind w:right="-5" w:firstLine="709"/>
        <w:jc w:val="right"/>
        <w:rPr>
          <w:rFonts w:ascii="Times New Roman" w:hAnsi="Times New Roman" w:cs="Times New Roman"/>
          <w:b w:val="0"/>
          <w:sz w:val="24"/>
          <w:szCs w:val="24"/>
          <w:lang w:val="uk-UA"/>
        </w:rPr>
      </w:pPr>
      <w:r>
        <w:rPr>
          <w:rFonts w:ascii="Times New Roman" w:hAnsi="Times New Roman" w:cs="Times New Roman"/>
          <w:b w:val="0"/>
          <w:sz w:val="24"/>
          <w:szCs w:val="24"/>
          <w:lang w:val="uk-UA"/>
        </w:rPr>
        <w:t>(</w:t>
      </w:r>
      <w:r w:rsidR="00B00DB8" w:rsidRPr="00BC7DA3">
        <w:rPr>
          <w:rFonts w:ascii="Times New Roman" w:hAnsi="Times New Roman" w:cs="Times New Roman"/>
          <w:b w:val="0"/>
          <w:sz w:val="24"/>
          <w:szCs w:val="24"/>
          <w:lang w:val="uk-UA"/>
        </w:rPr>
        <w:t xml:space="preserve">реєстр. № 3234 </w:t>
      </w:r>
      <w:r>
        <w:rPr>
          <w:rFonts w:ascii="Times New Roman" w:hAnsi="Times New Roman" w:cs="Times New Roman"/>
          <w:b w:val="0"/>
          <w:sz w:val="24"/>
          <w:szCs w:val="24"/>
          <w:lang w:val="uk-UA"/>
        </w:rPr>
        <w:t xml:space="preserve"> </w:t>
      </w:r>
      <w:r w:rsidR="00B00DB8" w:rsidRPr="00BC7DA3">
        <w:rPr>
          <w:rFonts w:ascii="Times New Roman" w:hAnsi="Times New Roman" w:cs="Times New Roman"/>
          <w:b w:val="0"/>
          <w:sz w:val="24"/>
          <w:szCs w:val="24"/>
          <w:lang w:val="uk-UA"/>
        </w:rPr>
        <w:t>від 06.10.2015</w:t>
      </w:r>
      <w:r>
        <w:rPr>
          <w:rFonts w:ascii="Times New Roman" w:hAnsi="Times New Roman" w:cs="Times New Roman"/>
          <w:b w:val="0"/>
          <w:sz w:val="24"/>
          <w:szCs w:val="24"/>
          <w:lang w:val="uk-UA"/>
        </w:rPr>
        <w:t>)</w:t>
      </w:r>
    </w:p>
    <w:p w:rsidR="00B00DB8" w:rsidRPr="00BC7DA3" w:rsidRDefault="00B00DB8" w:rsidP="00B00DB8">
      <w:pPr>
        <w:ind w:left="5040"/>
        <w:rPr>
          <w:szCs w:val="28"/>
        </w:rPr>
      </w:pPr>
    </w:p>
    <w:p w:rsidR="00B00DB8" w:rsidRPr="00BC7DA3" w:rsidRDefault="00B00DB8" w:rsidP="00B00DB8">
      <w:pPr>
        <w:ind w:left="5040"/>
        <w:rPr>
          <w:szCs w:val="28"/>
        </w:rPr>
      </w:pPr>
    </w:p>
    <w:p w:rsidR="00B00DB8" w:rsidRDefault="00B00DB8" w:rsidP="00B00DB8">
      <w:pPr>
        <w:ind w:left="5040"/>
        <w:rPr>
          <w:szCs w:val="28"/>
        </w:rPr>
      </w:pPr>
    </w:p>
    <w:p w:rsidR="00B00DB8" w:rsidRDefault="00B00DB8" w:rsidP="00B00DB8">
      <w:pPr>
        <w:ind w:left="5040"/>
        <w:rPr>
          <w:szCs w:val="28"/>
        </w:rPr>
      </w:pPr>
    </w:p>
    <w:p w:rsidR="00B00DB8" w:rsidRDefault="00B00DB8" w:rsidP="00B00DB8">
      <w:pPr>
        <w:ind w:left="5040"/>
        <w:rPr>
          <w:szCs w:val="28"/>
        </w:rPr>
      </w:pPr>
    </w:p>
    <w:p w:rsidR="00F04799" w:rsidRDefault="00F04799" w:rsidP="00B00DB8">
      <w:pPr>
        <w:ind w:left="5040"/>
        <w:rPr>
          <w:szCs w:val="28"/>
        </w:rPr>
      </w:pPr>
    </w:p>
    <w:p w:rsidR="00F04799" w:rsidRDefault="00F04799" w:rsidP="00B00DB8">
      <w:pPr>
        <w:ind w:left="5040"/>
        <w:rPr>
          <w:szCs w:val="28"/>
        </w:rPr>
      </w:pPr>
    </w:p>
    <w:p w:rsidR="00B00DB8" w:rsidRDefault="00B00DB8" w:rsidP="00B00DB8">
      <w:pPr>
        <w:ind w:left="5040"/>
        <w:rPr>
          <w:szCs w:val="28"/>
        </w:rPr>
      </w:pPr>
    </w:p>
    <w:p w:rsidR="00B00DB8" w:rsidRDefault="00B00DB8" w:rsidP="00B00DB8">
      <w:pPr>
        <w:ind w:left="5040"/>
        <w:rPr>
          <w:szCs w:val="28"/>
        </w:rPr>
      </w:pPr>
    </w:p>
    <w:p w:rsidR="00B00DB8" w:rsidRDefault="00B00DB8" w:rsidP="00B00DB8">
      <w:pPr>
        <w:ind w:left="5040"/>
        <w:rPr>
          <w:szCs w:val="28"/>
        </w:rPr>
      </w:pPr>
    </w:p>
    <w:p w:rsidR="00B00DB8" w:rsidRDefault="00B00DB8" w:rsidP="00B00DB8">
      <w:pPr>
        <w:ind w:left="5040"/>
        <w:rPr>
          <w:szCs w:val="28"/>
        </w:rPr>
      </w:pPr>
    </w:p>
    <w:p w:rsidR="00B00DB8" w:rsidRPr="00B00DB8" w:rsidRDefault="00B00DB8" w:rsidP="00B00DB8">
      <w:pPr>
        <w:ind w:left="5040"/>
        <w:rPr>
          <w:szCs w:val="28"/>
        </w:rPr>
      </w:pPr>
      <w:r w:rsidRPr="00B00DB8">
        <w:rPr>
          <w:b/>
          <w:szCs w:val="28"/>
        </w:rPr>
        <w:t>ВЕРХОВНА РАДА УКРАЇНИ</w:t>
      </w:r>
      <w:r w:rsidRPr="00B00DB8">
        <w:rPr>
          <w:szCs w:val="28"/>
        </w:rPr>
        <w:t xml:space="preserve"> </w:t>
      </w:r>
    </w:p>
    <w:p w:rsidR="00B00DB8" w:rsidRDefault="00B00DB8" w:rsidP="00B00DB8">
      <w:pPr>
        <w:ind w:left="5040"/>
        <w:rPr>
          <w:szCs w:val="28"/>
        </w:rPr>
      </w:pPr>
    </w:p>
    <w:p w:rsidR="00B00DB8" w:rsidRPr="00BC7DA3" w:rsidRDefault="00B00DB8" w:rsidP="00B00DB8">
      <w:pPr>
        <w:ind w:left="5040"/>
        <w:rPr>
          <w:szCs w:val="28"/>
        </w:rPr>
      </w:pPr>
    </w:p>
    <w:p w:rsidR="00B00DB8" w:rsidRPr="00BC7DA3" w:rsidRDefault="00B00DB8" w:rsidP="00B00DB8">
      <w:pPr>
        <w:jc w:val="center"/>
        <w:rPr>
          <w:b/>
          <w:szCs w:val="28"/>
        </w:rPr>
      </w:pPr>
      <w:r w:rsidRPr="00BC7DA3">
        <w:rPr>
          <w:b/>
          <w:szCs w:val="28"/>
        </w:rPr>
        <w:t>ВИСНОВОК</w:t>
      </w:r>
    </w:p>
    <w:p w:rsidR="00B00DB8" w:rsidRDefault="00B00DB8" w:rsidP="00B00DB8">
      <w:pPr>
        <w:ind w:left="5040"/>
        <w:rPr>
          <w:szCs w:val="28"/>
        </w:rPr>
      </w:pPr>
    </w:p>
    <w:p w:rsidR="00F04799" w:rsidRPr="00BC7DA3" w:rsidRDefault="00F04799" w:rsidP="00B00DB8">
      <w:pPr>
        <w:ind w:left="5040"/>
        <w:rPr>
          <w:szCs w:val="28"/>
        </w:rPr>
      </w:pPr>
      <w:bookmarkStart w:id="0" w:name="_GoBack"/>
      <w:bookmarkEnd w:id="0"/>
    </w:p>
    <w:p w:rsidR="00B00DB8" w:rsidRPr="00BC7DA3" w:rsidRDefault="00B00DB8" w:rsidP="00B00DB8">
      <w:pPr>
        <w:jc w:val="both"/>
        <w:rPr>
          <w:b/>
          <w:szCs w:val="28"/>
        </w:rPr>
      </w:pPr>
      <w:r w:rsidRPr="00BC7DA3">
        <w:rPr>
          <w:b/>
          <w:szCs w:val="28"/>
        </w:rPr>
        <w:t xml:space="preserve">на проект Закону України «Про внесення змін до законів  України «Про Регламент Верховної Ради України» та «Про Конституційний Суд України» щодо боротьби із затягуванням та популізмом у процесі законодавчої діяльності»,  внесений народними депутатами України Москаленком Я.М., </w:t>
      </w:r>
      <w:proofErr w:type="spellStart"/>
      <w:r w:rsidRPr="00BC7DA3">
        <w:rPr>
          <w:b/>
          <w:szCs w:val="28"/>
        </w:rPr>
        <w:t>Івахівим</w:t>
      </w:r>
      <w:proofErr w:type="spellEnd"/>
      <w:r w:rsidRPr="00BC7DA3">
        <w:rPr>
          <w:b/>
          <w:szCs w:val="28"/>
        </w:rPr>
        <w:t xml:space="preserve"> С.П. та </w:t>
      </w:r>
      <w:proofErr w:type="spellStart"/>
      <w:r w:rsidRPr="00BC7DA3">
        <w:rPr>
          <w:b/>
          <w:szCs w:val="28"/>
        </w:rPr>
        <w:t>Мартиняком</w:t>
      </w:r>
      <w:proofErr w:type="spellEnd"/>
      <w:r w:rsidRPr="00BC7DA3">
        <w:rPr>
          <w:b/>
          <w:szCs w:val="28"/>
        </w:rPr>
        <w:t xml:space="preserve"> С.В. (реєстр. № 3234 від 06.10.2015) </w:t>
      </w:r>
    </w:p>
    <w:p w:rsidR="00B00DB8" w:rsidRPr="00BC7DA3" w:rsidRDefault="00B00DB8" w:rsidP="00B00DB8">
      <w:pPr>
        <w:jc w:val="both"/>
        <w:rPr>
          <w:b/>
          <w:szCs w:val="28"/>
        </w:rPr>
      </w:pPr>
    </w:p>
    <w:p w:rsidR="00B00DB8" w:rsidRPr="00BC7DA3" w:rsidRDefault="00B00DB8" w:rsidP="00B00DB8">
      <w:pPr>
        <w:pStyle w:val="3"/>
        <w:spacing w:before="0" w:beforeAutospacing="0" w:after="0" w:afterAutospacing="0"/>
        <w:ind w:right="-5" w:firstLine="709"/>
        <w:jc w:val="both"/>
        <w:rPr>
          <w:rFonts w:ascii="Times New Roman" w:hAnsi="Times New Roman" w:cs="Times New Roman"/>
          <w:b w:val="0"/>
          <w:sz w:val="28"/>
          <w:szCs w:val="28"/>
          <w:lang w:val="uk-UA"/>
        </w:rPr>
      </w:pPr>
      <w:r w:rsidRPr="00BC7DA3">
        <w:rPr>
          <w:rFonts w:ascii="Times New Roman" w:hAnsi="Times New Roman" w:cs="Times New Roman"/>
          <w:b w:val="0"/>
          <w:sz w:val="28"/>
          <w:szCs w:val="28"/>
          <w:lang w:val="uk-UA"/>
        </w:rPr>
        <w:t xml:space="preserve">За дорученням Голови Верховної Ради України </w:t>
      </w:r>
      <w:r>
        <w:rPr>
          <w:rFonts w:ascii="Times New Roman" w:hAnsi="Times New Roman" w:cs="Times New Roman"/>
          <w:b w:val="0"/>
          <w:sz w:val="28"/>
          <w:szCs w:val="28"/>
          <w:lang w:val="uk-UA"/>
        </w:rPr>
        <w:t xml:space="preserve"> на засіданні Комітету                  4 липня 2018 року (протокол № 121) </w:t>
      </w:r>
      <w:r w:rsidRPr="00BC7DA3">
        <w:rPr>
          <w:rFonts w:ascii="Times New Roman" w:hAnsi="Times New Roman" w:cs="Times New Roman"/>
          <w:b w:val="0"/>
          <w:sz w:val="28"/>
          <w:szCs w:val="28"/>
          <w:lang w:val="uk-UA"/>
        </w:rPr>
        <w:t xml:space="preserve">розглянуто проект Закону України «Про внесення змін до законів  України «Про Регламент Верховної Ради України» та «Про Конституційний Суд України» щодо боротьби із затягуванням та популізмом у процесі законодавчої діяльності», внесений народними депутатами України Москаленком Я.М., </w:t>
      </w:r>
      <w:proofErr w:type="spellStart"/>
      <w:r w:rsidRPr="00BC7DA3">
        <w:rPr>
          <w:rFonts w:ascii="Times New Roman" w:hAnsi="Times New Roman" w:cs="Times New Roman"/>
          <w:b w:val="0"/>
          <w:sz w:val="28"/>
          <w:szCs w:val="28"/>
          <w:lang w:val="uk-UA"/>
        </w:rPr>
        <w:t>Івахівим</w:t>
      </w:r>
      <w:proofErr w:type="spellEnd"/>
      <w:r w:rsidRPr="00BC7DA3">
        <w:rPr>
          <w:rFonts w:ascii="Times New Roman" w:hAnsi="Times New Roman" w:cs="Times New Roman"/>
          <w:b w:val="0"/>
          <w:sz w:val="28"/>
          <w:szCs w:val="28"/>
          <w:lang w:val="uk-UA"/>
        </w:rPr>
        <w:t xml:space="preserve"> С.П. та </w:t>
      </w:r>
      <w:proofErr w:type="spellStart"/>
      <w:r w:rsidRPr="00BC7DA3">
        <w:rPr>
          <w:rFonts w:ascii="Times New Roman" w:hAnsi="Times New Roman" w:cs="Times New Roman"/>
          <w:b w:val="0"/>
          <w:sz w:val="28"/>
          <w:szCs w:val="28"/>
          <w:lang w:val="uk-UA"/>
        </w:rPr>
        <w:t>Мартиняком</w:t>
      </w:r>
      <w:proofErr w:type="spellEnd"/>
      <w:r w:rsidRPr="00BC7DA3">
        <w:rPr>
          <w:rFonts w:ascii="Times New Roman" w:hAnsi="Times New Roman" w:cs="Times New Roman"/>
          <w:b w:val="0"/>
          <w:sz w:val="28"/>
          <w:szCs w:val="28"/>
          <w:lang w:val="uk-UA"/>
        </w:rPr>
        <w:t xml:space="preserve"> С.В. (реєстр. №</w:t>
      </w:r>
      <w:r>
        <w:rPr>
          <w:rFonts w:ascii="Times New Roman" w:hAnsi="Times New Roman" w:cs="Times New Roman"/>
          <w:b w:val="0"/>
          <w:sz w:val="28"/>
          <w:szCs w:val="28"/>
          <w:lang w:val="uk-UA"/>
        </w:rPr>
        <w:t xml:space="preserve"> </w:t>
      </w:r>
      <w:r w:rsidRPr="00BC7DA3">
        <w:rPr>
          <w:rFonts w:ascii="Times New Roman" w:hAnsi="Times New Roman" w:cs="Times New Roman"/>
          <w:b w:val="0"/>
          <w:sz w:val="28"/>
          <w:szCs w:val="28"/>
          <w:lang w:val="uk-UA"/>
        </w:rPr>
        <w:t xml:space="preserve">3234 від 06.10.2015), висновки комітетів Верховної Ради України </w:t>
      </w:r>
      <w:r>
        <w:rPr>
          <w:rFonts w:ascii="Times New Roman" w:hAnsi="Times New Roman" w:cs="Times New Roman"/>
          <w:b w:val="0"/>
          <w:sz w:val="28"/>
          <w:szCs w:val="28"/>
          <w:lang w:val="uk-UA"/>
        </w:rPr>
        <w:t xml:space="preserve">               </w:t>
      </w:r>
      <w:r w:rsidRPr="00BC7DA3">
        <w:rPr>
          <w:rFonts w:ascii="Times New Roman" w:hAnsi="Times New Roman" w:cs="Times New Roman"/>
          <w:b w:val="0"/>
          <w:sz w:val="28"/>
          <w:szCs w:val="28"/>
          <w:lang w:val="uk-UA"/>
        </w:rPr>
        <w:t xml:space="preserve">з питань європейської інтеграції від 16.11.2015 № 04-17/10-1369 (284635), </w:t>
      </w:r>
      <w:r>
        <w:rPr>
          <w:rFonts w:ascii="Times New Roman" w:hAnsi="Times New Roman" w:cs="Times New Roman"/>
          <w:b w:val="0"/>
          <w:sz w:val="28"/>
          <w:szCs w:val="28"/>
          <w:lang w:val="uk-UA"/>
        </w:rPr>
        <w:t xml:space="preserve">                      </w:t>
      </w:r>
      <w:r w:rsidRPr="00BC7DA3">
        <w:rPr>
          <w:rFonts w:ascii="Times New Roman" w:hAnsi="Times New Roman" w:cs="Times New Roman"/>
          <w:b w:val="0"/>
          <w:sz w:val="28"/>
          <w:szCs w:val="28"/>
          <w:lang w:val="uk-UA"/>
        </w:rPr>
        <w:t xml:space="preserve">з питань бюджету від 14.12.2015 № 04-13/8-3475 (311446),  з питань запобігання і протидії корупції від 28.03.2016 № 04-19/17-6442 (74202), </w:t>
      </w:r>
      <w:r>
        <w:rPr>
          <w:rFonts w:ascii="Times New Roman" w:hAnsi="Times New Roman" w:cs="Times New Roman"/>
          <w:b w:val="0"/>
          <w:sz w:val="28"/>
          <w:szCs w:val="28"/>
          <w:lang w:val="uk-UA"/>
        </w:rPr>
        <w:t xml:space="preserve">                         </w:t>
      </w:r>
      <w:r w:rsidRPr="00BC7DA3">
        <w:rPr>
          <w:rFonts w:ascii="Times New Roman" w:hAnsi="Times New Roman" w:cs="Times New Roman"/>
          <w:b w:val="0"/>
          <w:sz w:val="28"/>
          <w:szCs w:val="28"/>
          <w:lang w:val="uk-UA"/>
        </w:rPr>
        <w:t>з питань правової політики та правосуддя від 16.11.2016  №04-29/09-4128 (274272), висновок Головного науково-експертного управління Апарату Верховної Ради України від 21.02.2018 № 16/3-108/3234 (36777).</w:t>
      </w:r>
    </w:p>
    <w:p w:rsidR="00B00DB8" w:rsidRPr="00BC7DA3" w:rsidRDefault="00B00DB8" w:rsidP="00B00DB8">
      <w:pPr>
        <w:ind w:firstLine="720"/>
        <w:jc w:val="both"/>
        <w:rPr>
          <w:szCs w:val="28"/>
        </w:rPr>
      </w:pPr>
      <w:r w:rsidRPr="00BC7DA3">
        <w:rPr>
          <w:szCs w:val="28"/>
        </w:rPr>
        <w:t xml:space="preserve">У поданому проекті Закону пропонується </w:t>
      </w:r>
      <w:proofErr w:type="spellStart"/>
      <w:r w:rsidRPr="00BC7DA3">
        <w:rPr>
          <w:szCs w:val="28"/>
        </w:rPr>
        <w:t>внести</w:t>
      </w:r>
      <w:proofErr w:type="spellEnd"/>
      <w:r w:rsidRPr="00BC7DA3">
        <w:rPr>
          <w:szCs w:val="28"/>
        </w:rPr>
        <w:t xml:space="preserve"> зміни до  статей  20, 21, 23, 25, 76, 77, 83, 96, 108, 172, 173, 213 Регламенту Верховної Ради України, </w:t>
      </w:r>
      <w:r>
        <w:rPr>
          <w:szCs w:val="28"/>
        </w:rPr>
        <w:t xml:space="preserve">               </w:t>
      </w:r>
      <w:r w:rsidRPr="00BC7DA3">
        <w:rPr>
          <w:szCs w:val="28"/>
        </w:rPr>
        <w:t>а також до статті 41 Закону України «Про Конституційний Суд України».</w:t>
      </w:r>
    </w:p>
    <w:p w:rsidR="00B00DB8" w:rsidRPr="00BC7DA3" w:rsidRDefault="00B00DB8" w:rsidP="00B00DB8">
      <w:pPr>
        <w:ind w:firstLine="708"/>
        <w:jc w:val="both"/>
        <w:rPr>
          <w:szCs w:val="28"/>
        </w:rPr>
      </w:pPr>
      <w:r w:rsidRPr="00BC7DA3">
        <w:rPr>
          <w:szCs w:val="28"/>
        </w:rPr>
        <w:t>Метою законопроекту, як зазначено у пояснювальній записці,                          є «недопущення дестабілізації політичної ситуації в Україні, а також забезпечення прав меншості щодо реалізації законодавчих ініціатив».</w:t>
      </w:r>
    </w:p>
    <w:p w:rsidR="00B00DB8" w:rsidRPr="00BC7DA3" w:rsidRDefault="00B00DB8" w:rsidP="00B00DB8">
      <w:pPr>
        <w:ind w:firstLine="709"/>
        <w:jc w:val="both"/>
        <w:rPr>
          <w:szCs w:val="28"/>
        </w:rPr>
      </w:pPr>
      <w:r w:rsidRPr="00BC7DA3">
        <w:rPr>
          <w:szCs w:val="28"/>
        </w:rPr>
        <w:lastRenderedPageBreak/>
        <w:t xml:space="preserve">Відповідно до частин першої та третьої статті 93 Регламенту Верховної Ради України </w:t>
      </w:r>
      <w:r>
        <w:rPr>
          <w:szCs w:val="28"/>
        </w:rPr>
        <w:t xml:space="preserve">Комітет </w:t>
      </w:r>
      <w:r w:rsidRPr="00BC7DA3">
        <w:rPr>
          <w:szCs w:val="28"/>
        </w:rPr>
        <w:t>зазнач</w:t>
      </w:r>
      <w:r>
        <w:rPr>
          <w:szCs w:val="28"/>
        </w:rPr>
        <w:t>ив</w:t>
      </w:r>
      <w:r w:rsidRPr="00BC7DA3">
        <w:rPr>
          <w:szCs w:val="28"/>
        </w:rPr>
        <w:t xml:space="preserve">, що проект Закону </w:t>
      </w:r>
      <w:proofErr w:type="spellStart"/>
      <w:r w:rsidRPr="00BC7DA3">
        <w:rPr>
          <w:szCs w:val="28"/>
        </w:rPr>
        <w:t>внесено</w:t>
      </w:r>
      <w:proofErr w:type="spellEnd"/>
      <w:r w:rsidRPr="00BC7DA3">
        <w:rPr>
          <w:szCs w:val="28"/>
        </w:rPr>
        <w:t xml:space="preserve">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rsidR="00B00DB8" w:rsidRPr="00BC7DA3" w:rsidRDefault="00B00DB8" w:rsidP="00B00DB8">
      <w:pPr>
        <w:ind w:firstLine="709"/>
        <w:jc w:val="both"/>
      </w:pPr>
      <w:r w:rsidRPr="00BC7DA3">
        <w:rPr>
          <w:szCs w:val="28"/>
        </w:rPr>
        <w:t xml:space="preserve">Водночас, при оформленні законопроекту допущено техніко-юридичні неточності, а саме - </w:t>
      </w:r>
      <w:r w:rsidRPr="00BC7DA3">
        <w:t xml:space="preserve">у законопроекті, а також у доданих до нього матеріалах зміни пропонуються до Закону України «Про Регламент Верховної Ради України». Проте, має бути посилання на Регламент Верховної Ради України, затверджений відповідним  Законом, оскільки за структурою Закон України «Про Регламент Верховної Ради України»  складається з двох пунктів. </w:t>
      </w:r>
    </w:p>
    <w:p w:rsidR="00B00DB8" w:rsidRPr="00BC7DA3" w:rsidRDefault="00B00DB8" w:rsidP="00B00DB8">
      <w:r w:rsidRPr="00BC7DA3">
        <w:tab/>
        <w:t xml:space="preserve">По суті поданого законопроекту </w:t>
      </w:r>
      <w:r>
        <w:t xml:space="preserve">Комітет </w:t>
      </w:r>
      <w:r w:rsidRPr="00BC7DA3">
        <w:t>зазнач</w:t>
      </w:r>
      <w:r>
        <w:t>ив</w:t>
      </w:r>
      <w:r w:rsidRPr="00BC7DA3">
        <w:t xml:space="preserve"> таке. </w:t>
      </w:r>
    </w:p>
    <w:p w:rsidR="00B00DB8" w:rsidRPr="00BC7DA3" w:rsidRDefault="00B00DB8" w:rsidP="00B00DB8">
      <w:pPr>
        <w:jc w:val="both"/>
      </w:pPr>
      <w:r w:rsidRPr="00BC7DA3">
        <w:tab/>
      </w:r>
      <w:r>
        <w:t>У</w:t>
      </w:r>
      <w:r w:rsidRPr="00BC7DA3">
        <w:t xml:space="preserve"> проекті Закону пропонується викласти </w:t>
      </w:r>
      <w:r>
        <w:t>в</w:t>
      </w:r>
      <w:r w:rsidRPr="00BC7DA3">
        <w:t xml:space="preserve"> новій редакції частину четверту статті 20 Регламенту Верховної Ради України, доповнивши перелік питань, які включаються до порядку денного сесії Верховної Ради України позачергово без голосування, проектом закону про внесення змін до Конституції України із наявним висновком Конституційного Суду України, передбачен</w:t>
      </w:r>
      <w:r>
        <w:t xml:space="preserve">им </w:t>
      </w:r>
      <w:r w:rsidRPr="00BC7DA3">
        <w:t>статтею 159 Конституції України.</w:t>
      </w:r>
    </w:p>
    <w:p w:rsidR="00B00DB8" w:rsidRDefault="00B00DB8" w:rsidP="00B00DB8">
      <w:pPr>
        <w:jc w:val="both"/>
      </w:pPr>
      <w:r w:rsidRPr="00BC7DA3">
        <w:tab/>
      </w:r>
      <w:r>
        <w:t xml:space="preserve">Комітет </w:t>
      </w:r>
      <w:r w:rsidRPr="00BC7DA3">
        <w:t>зверну</w:t>
      </w:r>
      <w:r>
        <w:t xml:space="preserve">в </w:t>
      </w:r>
      <w:r w:rsidRPr="00BC7DA3">
        <w:t>увагу</w:t>
      </w:r>
      <w:r w:rsidR="00C17125">
        <w:t xml:space="preserve"> на те</w:t>
      </w:r>
      <w:r w:rsidRPr="00BC7DA3">
        <w:t>, що позачергово без голосування до порядку денного включаються питання, що є пріоритетними з точки зору законодавчої діяльності, а також вкрай важливими з точки зору організації роботи Верховної Ради України. Крім цього, законопроекти про внесення змін до Конституції України розглядаються Верховною Радою України за спеціальною процедурою.</w:t>
      </w:r>
    </w:p>
    <w:p w:rsidR="00B00DB8" w:rsidRPr="00BC7DA3" w:rsidRDefault="00B00DB8" w:rsidP="00B00DB8">
      <w:pPr>
        <w:jc w:val="both"/>
      </w:pPr>
      <w:r w:rsidRPr="00BC7DA3">
        <w:tab/>
        <w:t xml:space="preserve">Не обґрунтованою виглядає пропозиція про доповнення новою частиною третьою статті 23 Регламенту Верховної Ради України про те, що «постанова про включення розгляду питань до затвердженого в цілому порядку денного сесії Верховної Ради України за наполяганням суб’єкта права законодавчої ініціативи приймається однією третиною голосів народних депутатів України від конституційного складу </w:t>
      </w:r>
      <w:r w:rsidR="00764336">
        <w:t>Верховної Ради</w:t>
      </w:r>
      <w:r w:rsidRPr="00BC7DA3">
        <w:t>». Проте, у чинній редакції частини другої цієї статті постанова про виключення чи перенесення розгляду питань до затвердженого в цілому порядку денного сесії Верховної Ради України за наполяганням суб’єкта права законодавчої ініціативи приймається більшістю голосів народних депутатів України від конституційного складу Верховної Ради України.</w:t>
      </w:r>
    </w:p>
    <w:p w:rsidR="00B00DB8" w:rsidRPr="00BC7DA3" w:rsidRDefault="00B00DB8" w:rsidP="00B00DB8">
      <w:pPr>
        <w:ind w:firstLine="708"/>
        <w:jc w:val="both"/>
      </w:pPr>
      <w:r w:rsidRPr="00BC7DA3">
        <w:t xml:space="preserve">Крім того </w:t>
      </w:r>
      <w:r>
        <w:t xml:space="preserve">Комітет </w:t>
      </w:r>
      <w:r w:rsidRPr="00BC7DA3">
        <w:t>зазнач</w:t>
      </w:r>
      <w:r>
        <w:t>ив</w:t>
      </w:r>
      <w:r w:rsidRPr="00BC7DA3">
        <w:t>, що однією третиною голосів народних депутатів України від конституційного складу Верховної Ради України приймаються рішення з процедурних питань (частина перша статті 49 Регламенту Верховної Ради України), а також, відповідно до частини третьої статті 89 Конституції України, утворюються тимчасові слідчі комісії.</w:t>
      </w:r>
    </w:p>
    <w:p w:rsidR="00B00DB8" w:rsidRPr="00BC7DA3" w:rsidRDefault="00B00DB8" w:rsidP="00B00DB8">
      <w:pPr>
        <w:ind w:firstLine="708"/>
        <w:jc w:val="both"/>
      </w:pPr>
      <w:r>
        <w:t xml:space="preserve">Також Комітет зауважив, що </w:t>
      </w:r>
      <w:r w:rsidRPr="00BC7DA3">
        <w:t>до порядку денного включаються саме питання, а не їх розгляд.</w:t>
      </w:r>
    </w:p>
    <w:p w:rsidR="00B00DB8" w:rsidRPr="00BC7DA3" w:rsidRDefault="00B00DB8" w:rsidP="00B00DB8">
      <w:pPr>
        <w:jc w:val="both"/>
      </w:pPr>
      <w:r w:rsidRPr="00BC7DA3">
        <w:lastRenderedPageBreak/>
        <w:tab/>
        <w:t xml:space="preserve">У змінах до частини першої статті 25 Регламенту Верховної Ради України щодо тижневого порядку денного пленарних засідань пропонується не включати до порядку денного засідань Верховної Ради України проекти законів  без висновку головного комітету. </w:t>
      </w:r>
    </w:p>
    <w:p w:rsidR="00B00DB8" w:rsidRPr="00BC7DA3" w:rsidRDefault="00B00DB8" w:rsidP="00B00DB8">
      <w:pPr>
        <w:ind w:firstLine="708"/>
        <w:jc w:val="both"/>
      </w:pPr>
      <w:r>
        <w:t xml:space="preserve">Комітет зазначив, </w:t>
      </w:r>
      <w:r w:rsidRPr="00BC7DA3">
        <w:t xml:space="preserve">що ця пропозиція не узгоджується з положеннями  частини третьої статті 96 Регламенту Верховної Ради України, відповідно до  якої  у разі, якщо головний комітет у визначений Регламентом Верховної Ради України </w:t>
      </w:r>
      <w:proofErr w:type="spellStart"/>
      <w:r w:rsidRPr="00BC7DA3">
        <w:t>тридцятиденний</w:t>
      </w:r>
      <w:proofErr w:type="spellEnd"/>
      <w:r>
        <w:t xml:space="preserve"> </w:t>
      </w:r>
      <w:r w:rsidRPr="00BC7DA3">
        <w:t>строк не ухвалить висновку щодо включення відповідного законопроекту до порядку денного сесії, Верховна Рада України в 15-денний строк після письмового звернення з цього приводу суб’єкта права законодавчої ініціативи розглядає питання щодо законопроекту на пленарному засіданні та приймає рішення  про включення його до порядку денного сесії Верховної Ради України або про надання головному комітету додаткового часу для підготовки висновку щодо нього.</w:t>
      </w:r>
    </w:p>
    <w:p w:rsidR="00B00DB8" w:rsidRPr="00BC7DA3" w:rsidRDefault="00B84FBF" w:rsidP="00B00DB8">
      <w:pPr>
        <w:ind w:firstLine="708"/>
        <w:jc w:val="both"/>
      </w:pPr>
      <w:r w:rsidRPr="00B84FBF">
        <w:t>Не зважаючи на те, що</w:t>
      </w:r>
      <w:r>
        <w:rPr>
          <w:i/>
        </w:rPr>
        <w:t xml:space="preserve"> </w:t>
      </w:r>
      <w:r w:rsidR="00B00DB8" w:rsidRPr="00BC7DA3">
        <w:t>автор</w:t>
      </w:r>
      <w:r w:rsidR="00816CEF">
        <w:t>и</w:t>
      </w:r>
      <w:r w:rsidR="00B00DB8" w:rsidRPr="00BC7DA3">
        <w:t xml:space="preserve"> законопроекту пропону</w:t>
      </w:r>
      <w:r w:rsidR="00816CEF">
        <w:t>ють</w:t>
      </w:r>
      <w:r w:rsidR="00B00DB8" w:rsidRPr="00BC7DA3">
        <w:t xml:space="preserve"> зміни до частини третьої статті 96 Регламенту Верховної Ради України, норма про можливість розгляду Верховною Радою України законопроекту за письмовим зверненням суб’єкта права законодавчої ініціативи залишається незмінною.</w:t>
      </w:r>
    </w:p>
    <w:p w:rsidR="00B00DB8" w:rsidRPr="00BC7DA3" w:rsidRDefault="00B00DB8" w:rsidP="00B00DB8">
      <w:pPr>
        <w:ind w:firstLine="708"/>
        <w:jc w:val="both"/>
      </w:pPr>
      <w:r w:rsidRPr="00BC7DA3">
        <w:t>Водночас, положеннями чинної частини першої статті 25 Регламенту Верховної Ради України встановлено, що порядок денний пленарних засідань Верховної Ради України на кожний день пленарного тижня готується Апаратом Верховної Ради України на підставі затвердженого розкладу пленарних засідань сесії Верховної Ради України з урахуванням передбаченої в ньому черговості та фактичного стану готовності кожного питання до розгляду Верховною Радою України. Проте, досить часто має місце недотримання цих регламентних норм.</w:t>
      </w:r>
    </w:p>
    <w:p w:rsidR="00B00DB8" w:rsidRPr="00BC7DA3" w:rsidRDefault="00B00DB8" w:rsidP="00B00DB8">
      <w:pPr>
        <w:jc w:val="both"/>
      </w:pPr>
      <w:r w:rsidRPr="00BC7DA3">
        <w:tab/>
        <w:t xml:space="preserve">Щодо доповнення після частини першої новою частиною другою  </w:t>
      </w:r>
      <w:r w:rsidR="00816CEF">
        <w:t xml:space="preserve">                   </w:t>
      </w:r>
      <w:r w:rsidRPr="00BC7DA3">
        <w:t xml:space="preserve"> статті 25 Регламенту Верховної Ради України, в якій авторами пропонується перелік питань, які включаються до тижневого порядку денного пленарних засідань Верховної Ради України позачергово без голосування Погоджувальної ради, </w:t>
      </w:r>
      <w:r w:rsidR="00816CEF">
        <w:t xml:space="preserve">Комітет </w:t>
      </w:r>
      <w:r w:rsidRPr="00BC7DA3">
        <w:t>зазнач</w:t>
      </w:r>
      <w:r w:rsidR="00816CEF">
        <w:t xml:space="preserve">ив </w:t>
      </w:r>
      <w:r w:rsidRPr="00BC7DA3">
        <w:t>таке.</w:t>
      </w:r>
    </w:p>
    <w:p w:rsidR="00B00DB8" w:rsidRPr="00BC7DA3" w:rsidRDefault="00B00DB8" w:rsidP="00B00DB8">
      <w:pPr>
        <w:ind w:firstLine="708"/>
        <w:jc w:val="both"/>
      </w:pPr>
      <w:r w:rsidRPr="00BC7DA3">
        <w:t xml:space="preserve"> Погоджувальна </w:t>
      </w:r>
      <w:r>
        <w:t>р</w:t>
      </w:r>
      <w:r w:rsidRPr="00BC7DA3">
        <w:t>ада створюється як консультативно-дорадчий орган для попередньої підготовки і розгляду організаційних питань роботи Верховної Ради України, до складу якої входять Голова Верховної Ради України, Перший заступник і заступник Голови Верховної Ради України, голови депутатських фракцій (голови депутатських груп) з правом ухвального голосу та голови комітетів з правом дорадчого голосу (стаття 73 Регламенту Верховної Ради України).</w:t>
      </w:r>
    </w:p>
    <w:p w:rsidR="00B00DB8" w:rsidRPr="00BC7DA3" w:rsidRDefault="00B00DB8" w:rsidP="00B00DB8">
      <w:pPr>
        <w:jc w:val="both"/>
      </w:pPr>
      <w:r w:rsidRPr="00BC7DA3">
        <w:tab/>
        <w:t xml:space="preserve">Згідно з положеннями частин десятої та одинадцятої зазначеної статті, пропозиції Погоджувальної ради (в тому числі щодо порядку денного пленарних засідань) ухвалюються такою кількістю голосів членів Погоджувальної ради з правом ухвального голосу, яка у сумарному підрахунку голосів членів відповідних депутатських фракцій (депутатських </w:t>
      </w:r>
      <w:r w:rsidRPr="00BC7DA3">
        <w:lastRenderedPageBreak/>
        <w:t xml:space="preserve">груп) є достатньою для прийняття позитивного рішення при голосуванні питання у залі </w:t>
      </w:r>
      <w:r w:rsidR="00816CEF">
        <w:t>пленарних засідань Верховної Ради України.</w:t>
      </w:r>
      <w:r w:rsidRPr="00BC7DA3">
        <w:t xml:space="preserve"> </w:t>
      </w:r>
    </w:p>
    <w:p w:rsidR="00B00DB8" w:rsidRPr="00BC7DA3" w:rsidRDefault="00B00DB8" w:rsidP="00B00DB8">
      <w:pPr>
        <w:jc w:val="both"/>
      </w:pPr>
      <w:r w:rsidRPr="00BC7DA3">
        <w:tab/>
      </w:r>
      <w:r w:rsidR="00816CEF">
        <w:t>Також у</w:t>
      </w:r>
      <w:r w:rsidRPr="00BC7DA3">
        <w:t xml:space="preserve"> законопроекті запропоновано викласти в новій редакції частину четверту статті 76 Регламенту Верховної Ради України щодо відкликання Верховною Радою України Голови Верховної Ради України з посади, </w:t>
      </w:r>
      <w:r w:rsidR="00816CEF">
        <w:t xml:space="preserve">згідно з </w:t>
      </w:r>
      <w:r w:rsidRPr="00BC7DA3">
        <w:t xml:space="preserve"> яко</w:t>
      </w:r>
      <w:r w:rsidR="00816CEF">
        <w:t>ю</w:t>
      </w:r>
      <w:r w:rsidRPr="00BC7DA3">
        <w:t xml:space="preserve"> «до наступного за днем внесення пропозиції про відкликання з посади Голови Верховної Ради України пленарного засідання, але не раніше ніж через 5 робочих днів Рахункова палата проводить фінансову перевірку виконання кошторису Верховної Ради в поточному році». </w:t>
      </w:r>
    </w:p>
    <w:p w:rsidR="00B00DB8" w:rsidRPr="00BC7DA3" w:rsidRDefault="00B00DB8" w:rsidP="00B00DB8">
      <w:pPr>
        <w:jc w:val="both"/>
      </w:pPr>
      <w:r w:rsidRPr="00BC7DA3">
        <w:tab/>
      </w:r>
      <w:r w:rsidR="00816CEF">
        <w:t>Крім того, н</w:t>
      </w:r>
      <w:r w:rsidRPr="00BC7DA3">
        <w:t>овелою законопроекту є нова редакція статті 77 Регламенту Верховної Ради України щодо розгляду питання про відкликання Голови Верховної Ради України з посади, відповідно до якої «Розгляд питання про відкликання Голови Верховної Ради України з посади включається до порядку денного пленарного засідання Верховної Ради України не пізніш як на десятий день після включення цього питання до порядку денного».</w:t>
      </w:r>
    </w:p>
    <w:p w:rsidR="00B00DB8" w:rsidRPr="00BC7DA3" w:rsidRDefault="00B00DB8" w:rsidP="00B00DB8">
      <w:pPr>
        <w:jc w:val="both"/>
      </w:pPr>
      <w:bookmarkStart w:id="1" w:name="n259"/>
      <w:bookmarkStart w:id="2" w:name="n262"/>
      <w:bookmarkEnd w:id="1"/>
      <w:bookmarkEnd w:id="2"/>
      <w:r w:rsidRPr="00BC7DA3">
        <w:tab/>
        <w:t>Зазначена ініціатива кореспондується із запропонованим у проекті Закону внесенням змін до статті 20 Регламенту Верховної Ради України, відповідно до якої до порядку денного сесії Верховної Ради України включається позачергово, без голосування, питання обрання та відкликання Голови Верховної Ради України.</w:t>
      </w:r>
    </w:p>
    <w:p w:rsidR="00B00DB8" w:rsidRPr="00BC7DA3" w:rsidRDefault="00B00DB8" w:rsidP="00B00DB8">
      <w:pPr>
        <w:jc w:val="both"/>
      </w:pPr>
      <w:r w:rsidRPr="00BC7DA3">
        <w:tab/>
        <w:t xml:space="preserve">Також у законопроекті пропонується доповнити частину першу </w:t>
      </w:r>
      <w:r w:rsidR="00816CEF">
        <w:t xml:space="preserve">                    </w:t>
      </w:r>
      <w:r w:rsidRPr="00BC7DA3">
        <w:t>статті 108 Регламенту Верховної Ради України щодо розгляду законопроектів головним комітетом реченням такого змісту «Комітет може прийняти рішення про підготовку законопроекту до першого читання без його включення до порядку денного сесії Верховної Ради України».</w:t>
      </w:r>
    </w:p>
    <w:p w:rsidR="005F6FAE" w:rsidRDefault="00B00DB8" w:rsidP="00B00DB8">
      <w:pPr>
        <w:jc w:val="both"/>
      </w:pPr>
      <w:r w:rsidRPr="00BC7DA3">
        <w:tab/>
      </w:r>
      <w:r w:rsidR="00816CEF">
        <w:t>Натомість, т</w:t>
      </w:r>
      <w:r w:rsidRPr="00BC7DA3">
        <w:t xml:space="preserve">ака новела не узгоджується з положеннями частини </w:t>
      </w:r>
      <w:r w:rsidR="005F6FAE">
        <w:t>другої статті 102 Регламенту Верховної Ради України, згідно з якою експертиза законопроекту здійснюється Головним науково-експертним управлінням після включення до порядку денного сесії  законопроекту, який готується до першого читання.</w:t>
      </w:r>
    </w:p>
    <w:p w:rsidR="00B00DB8" w:rsidRPr="00BC7DA3" w:rsidRDefault="00B00DB8" w:rsidP="00B00DB8">
      <w:pPr>
        <w:jc w:val="both"/>
      </w:pPr>
      <w:r w:rsidRPr="00BC7DA3">
        <w:tab/>
        <w:t>Крім того, відповідно до частини першої статті 96 Регламенту Верховної Ради України, на пленарному засіданні Верховної Ради України розглядаються лише законопроекти, включені до порядку денного сесії Верховної Ради України (за винятком випадків, коли за процедурним рішенням Верховної Ради України для невідкладного розгляду може бути включено до порядку денного пленарного засідання (без додаткового включення до порядку денного сесії) законопроект, якщо він був підготовлений для термінового розгляду на виконання відповідного доручення Верховної Ради України).</w:t>
      </w:r>
    </w:p>
    <w:p w:rsidR="00B00DB8" w:rsidRPr="00BC7DA3" w:rsidRDefault="00B00DB8" w:rsidP="00B00DB8">
      <w:pPr>
        <w:jc w:val="both"/>
      </w:pPr>
      <w:r w:rsidRPr="00BC7DA3">
        <w:tab/>
        <w:t>У запропонованих змінах до статей 172, 173 Регламенту Верховної Ради України (щодо ініціювання питання про усунення Президента України з поста в порядку імпічменту та порядку утворення спеціальної тимчасової слідчої</w:t>
      </w:r>
      <w:r w:rsidR="005F6FAE">
        <w:br/>
      </w:r>
      <w:r w:rsidR="005F6FAE">
        <w:br/>
      </w:r>
      <w:r w:rsidRPr="00BC7DA3">
        <w:lastRenderedPageBreak/>
        <w:t xml:space="preserve"> комісії, обрання спеціального прокурора та спеціальних слідчих)  пропонується, що : </w:t>
      </w:r>
    </w:p>
    <w:p w:rsidR="00B00DB8" w:rsidRPr="00BC7DA3" w:rsidRDefault="00B00DB8" w:rsidP="00B00DB8">
      <w:pPr>
        <w:jc w:val="both"/>
      </w:pPr>
      <w:r w:rsidRPr="00BC7DA3">
        <w:tab/>
        <w:t>- Верховна Рада України більшістю голосів народних депутатів України від її конституційного складу приймає рішення щодо ініціювання питання про усунення Президента України з поста в порядку імпічменту, та утворює спеціальну тимчасову слідчу комісію  (без включення цього питання до порядку денного сесії Верховної Ради України як невідкладного).</w:t>
      </w:r>
    </w:p>
    <w:p w:rsidR="00B00DB8" w:rsidRPr="00BC7DA3" w:rsidRDefault="00B00DB8" w:rsidP="00B00DB8">
      <w:pPr>
        <w:jc w:val="both"/>
      </w:pPr>
      <w:r w:rsidRPr="00BC7DA3">
        <w:tab/>
      </w:r>
      <w:r w:rsidR="00816CEF">
        <w:t>Комітет з</w:t>
      </w:r>
      <w:r w:rsidRPr="00BC7DA3">
        <w:t>азнач</w:t>
      </w:r>
      <w:r w:rsidR="00816CEF">
        <w:t>ив</w:t>
      </w:r>
      <w:r w:rsidRPr="00BC7DA3">
        <w:t>, що за змістом  частини третьої статті 172 Регламенту Верховної Ради України, Верховною Радою України проводиться одне голосування одночасно – за прийняття рішення щодо ініціювання питання про усунення Президента України з поста в порядку імпічменту та включення його до порядку денного сесії Верховної Ради України як невідкладного.  В такому випадку зазначене питання буде мати пріоритетний порядок розгляду на всіх стадіях парламентської процедури.</w:t>
      </w:r>
    </w:p>
    <w:p w:rsidR="00B00DB8" w:rsidRPr="00BC7DA3" w:rsidRDefault="00B00DB8" w:rsidP="00B00DB8">
      <w:pPr>
        <w:jc w:val="both"/>
      </w:pPr>
      <w:r w:rsidRPr="00BC7DA3">
        <w:tab/>
        <w:t>Наступним етапом розгляду зазначеного питання є утворення  Верховною Радою України спеціальної тимчасової слідчої комісії, порядок утворення якої встановлюється статтею 173 Регламенту Верховної Ради України. Як випливає зі змісту частини першої цієї статті, така комісія утворюється лише у разі  включення питання про ініціювання питання про імпічмент Президента України до порядку денного сесії Верховної Ради України. Таким чином, включення зазначеного питання до порядку денного сесії передує створенню такої комісії.</w:t>
      </w:r>
    </w:p>
    <w:p w:rsidR="00B00DB8" w:rsidRPr="00BC7DA3" w:rsidRDefault="00B00DB8" w:rsidP="00B00DB8">
      <w:pPr>
        <w:jc w:val="both"/>
      </w:pPr>
      <w:r w:rsidRPr="00BC7DA3">
        <w:tab/>
        <w:t>Отже, чинний Регламент Верховної Ради України не визначає наслідки не ухвалення відповідного рішення. В цьому випадку подальша процедура розгляду такого питання припиняється.</w:t>
      </w:r>
    </w:p>
    <w:p w:rsidR="00B00DB8" w:rsidRPr="00BC7DA3" w:rsidRDefault="00B00DB8" w:rsidP="00B00DB8">
      <w:pPr>
        <w:jc w:val="both"/>
      </w:pPr>
      <w:r w:rsidRPr="00BC7DA3">
        <w:tab/>
        <w:t>Законопроектом пропонується викласти в новій редакції частину другу статті 213 Регламенту Верховної Ради України (щодо висловлення недовіри Генеральному прокуророві</w:t>
      </w:r>
      <w:r w:rsidR="00816CEF">
        <w:t xml:space="preserve"> </w:t>
      </w:r>
      <w:r w:rsidRPr="00BC7DA3">
        <w:t>України) – питання про висловлення недовіри Генеральному прокуророві включається до порядку денного сесії Верховної Ради України без голосування.</w:t>
      </w:r>
      <w:r w:rsidRPr="00BC7DA3">
        <w:rPr>
          <w:u w:val="single"/>
        </w:rPr>
        <w:t xml:space="preserve"> </w:t>
      </w:r>
      <w:r w:rsidRPr="00BC7DA3">
        <w:t xml:space="preserve"> </w:t>
      </w:r>
    </w:p>
    <w:p w:rsidR="00B00DB8" w:rsidRPr="00BC7DA3" w:rsidRDefault="00B00DB8" w:rsidP="00B00DB8">
      <w:pPr>
        <w:jc w:val="both"/>
      </w:pPr>
      <w:r w:rsidRPr="00BC7DA3">
        <w:tab/>
      </w:r>
      <w:r w:rsidR="00816CEF">
        <w:t>Комітет п</w:t>
      </w:r>
      <w:r w:rsidRPr="00BC7DA3">
        <w:t>ривер</w:t>
      </w:r>
      <w:r w:rsidR="00816CEF">
        <w:t xml:space="preserve">нув </w:t>
      </w:r>
      <w:r w:rsidRPr="00BC7DA3">
        <w:t xml:space="preserve">увагу до того, що  після прийняття Закону України «Про внесення змін до Конституції України (щодо правосуддя)  від  2 червня </w:t>
      </w:r>
      <w:r>
        <w:t xml:space="preserve">               </w:t>
      </w:r>
      <w:r w:rsidRPr="00BC7DA3">
        <w:t>2016 року словосполучення «Генеральний прокурор Укра</w:t>
      </w:r>
      <w:r>
        <w:t>ї</w:t>
      </w:r>
      <w:r w:rsidRPr="00BC7DA3">
        <w:t>ни» було замінено на «Генеральний прокурор».</w:t>
      </w:r>
    </w:p>
    <w:p w:rsidR="00B00DB8" w:rsidRPr="00BC7DA3" w:rsidRDefault="00B00DB8" w:rsidP="00B00DB8">
      <w:pPr>
        <w:jc w:val="both"/>
      </w:pPr>
      <w:r w:rsidRPr="00BC7DA3">
        <w:tab/>
        <w:t xml:space="preserve">Згідно з положеннями  пункту 25 частини першої статті 85 Конституції України (в редакції Закону України «Про внесення змін до Конституції України (щодо правосуддя)» від 2 червня 2016 року), до повноважень Верховної Ради України належить  надання згоди на призначення на посаду та звільнення з посади Президентом України Генерального прокурора; висловлення  недовіри Генеральному прокуророві, що має наслідком його відставку з посади. </w:t>
      </w:r>
    </w:p>
    <w:p w:rsidR="00B00DB8" w:rsidRPr="00BC7DA3" w:rsidRDefault="00B00DB8" w:rsidP="00B00DB8">
      <w:pPr>
        <w:jc w:val="both"/>
      </w:pPr>
      <w:r w:rsidRPr="00BC7DA3">
        <w:tab/>
        <w:t xml:space="preserve">У частині четвертій статті 20 Регламенту Верховної Ради України, наведено перелік питань, які включаються до порядку денного сесії Верховної Ради України позачергово без голосування: питання про складення присяги, </w:t>
      </w:r>
      <w:r w:rsidRPr="00BC7DA3">
        <w:lastRenderedPageBreak/>
        <w:t>питання про призначення і звільнення з посад, звільнення з посад, надання згоди на призначення і звільнення з посад,  а також питання щодо здійснення парламентського контролю, розгляд яких є виключним правом Верховної Ради України у випадках, передбачених Конституцією України та законами України.</w:t>
      </w:r>
    </w:p>
    <w:p w:rsidR="00B00DB8" w:rsidRPr="00BC7DA3" w:rsidRDefault="00B00DB8" w:rsidP="00B00DB8">
      <w:pPr>
        <w:jc w:val="both"/>
        <w:rPr>
          <w:color w:val="000000"/>
          <w:szCs w:val="28"/>
        </w:rPr>
      </w:pPr>
      <w:r w:rsidRPr="00BC7DA3">
        <w:tab/>
        <w:t xml:space="preserve">У поданому законопроекті пропонується </w:t>
      </w:r>
      <w:proofErr w:type="spellStart"/>
      <w:r w:rsidRPr="00BC7DA3">
        <w:t>внести</w:t>
      </w:r>
      <w:proofErr w:type="spellEnd"/>
      <w:r w:rsidRPr="00BC7DA3">
        <w:t xml:space="preserve"> зміни до частини першої статті 41 Закону України «Про Конституційний Суд України», доповнивши перелік суб’єктів права на конституційне подання з питань дачі висновків Конституційним Судом України (зокрема, </w:t>
      </w:r>
      <w:r w:rsidRPr="00BC7DA3">
        <w:rPr>
          <w:color w:val="000000"/>
          <w:szCs w:val="28"/>
        </w:rPr>
        <w:t xml:space="preserve">відповідності проекту закону про внесення змін до Конституції України вимогам </w:t>
      </w:r>
      <w:hyperlink r:id="rId6" w:anchor="n2432" w:tgtFrame="_blank" w:history="1">
        <w:r w:rsidRPr="00BC7DA3">
          <w:rPr>
            <w:color w:val="000000"/>
            <w:szCs w:val="28"/>
          </w:rPr>
          <w:t>статей 157</w:t>
        </w:r>
      </w:hyperlink>
      <w:r w:rsidRPr="00BC7DA3">
        <w:rPr>
          <w:color w:val="000000"/>
          <w:szCs w:val="28"/>
        </w:rPr>
        <w:t xml:space="preserve"> і </w:t>
      </w:r>
      <w:hyperlink r:id="rId7" w:anchor="n2434" w:tgtFrame="_blank" w:history="1">
        <w:r w:rsidRPr="00BC7DA3">
          <w:rPr>
            <w:color w:val="000000"/>
            <w:szCs w:val="28"/>
          </w:rPr>
          <w:t>158 Конституції України</w:t>
        </w:r>
      </w:hyperlink>
      <w:r w:rsidRPr="00BC7DA3">
        <w:rPr>
          <w:color w:val="000000"/>
          <w:szCs w:val="28"/>
        </w:rPr>
        <w:t xml:space="preserve">) – </w:t>
      </w:r>
      <w:r w:rsidRPr="00A70F47">
        <w:rPr>
          <w:color w:val="000000"/>
          <w:szCs w:val="28"/>
        </w:rPr>
        <w:t>суб’єктами є</w:t>
      </w:r>
      <w:r w:rsidRPr="00BC7DA3">
        <w:rPr>
          <w:color w:val="000000"/>
          <w:szCs w:val="28"/>
        </w:rPr>
        <w:t xml:space="preserve"> Президент України, не менш як третина народних депутатів України від конституційного складу Верховної Ради України щодо законопроекту, зазначеного у статях 154, 155 Конституції України, а щодо законопроекту, зазначеного у статті 156 Конституції України – не менш як дві третини від конституційного складу Верховної Ради України.</w:t>
      </w:r>
    </w:p>
    <w:p w:rsidR="00B00DB8" w:rsidRPr="00BC7DA3" w:rsidRDefault="002C1C7F" w:rsidP="00B00DB8">
      <w:pPr>
        <w:ind w:firstLine="708"/>
        <w:jc w:val="both"/>
        <w:rPr>
          <w:color w:val="000000"/>
          <w:szCs w:val="28"/>
        </w:rPr>
      </w:pPr>
      <w:r>
        <w:rPr>
          <w:color w:val="000000"/>
          <w:szCs w:val="28"/>
        </w:rPr>
        <w:t>Комітет з</w:t>
      </w:r>
      <w:r w:rsidR="00B00DB8" w:rsidRPr="00BC7DA3">
        <w:rPr>
          <w:color w:val="000000"/>
          <w:szCs w:val="28"/>
        </w:rPr>
        <w:t>ауваж</w:t>
      </w:r>
      <w:r>
        <w:rPr>
          <w:color w:val="000000"/>
          <w:szCs w:val="28"/>
        </w:rPr>
        <w:t>ив</w:t>
      </w:r>
      <w:r w:rsidR="00B00DB8" w:rsidRPr="00BC7DA3">
        <w:rPr>
          <w:color w:val="000000"/>
          <w:szCs w:val="28"/>
        </w:rPr>
        <w:t>, що Комітет з питань правової політки  та правосуддя розглянув на своєму засіданні 16 листопада  2016 року, на відповідність Конституції України,  зокрема, проект Закону України «Про внесення змін до законів  України «Про Регламент Верховної Ради України» та «Про Конституційний Суд України» щодо боротьби із затягуванням та популізмом у процесі законодавчої діяльності»</w:t>
      </w:r>
      <w:r>
        <w:rPr>
          <w:color w:val="000000"/>
          <w:szCs w:val="28"/>
        </w:rPr>
        <w:t xml:space="preserve"> (реєстр. № 3234) </w:t>
      </w:r>
      <w:r w:rsidR="00B00DB8" w:rsidRPr="00BC7DA3">
        <w:rPr>
          <w:color w:val="000000"/>
          <w:szCs w:val="28"/>
        </w:rPr>
        <w:t>, і дійшов висновку, що «внесення запропонованих законопроектом змін до статті 41 Закону України «Про Конституційний Суд України» не узгоджується з нормами Конституції України (статтями 8, 159) … та суперечить положенням Конституції України».</w:t>
      </w:r>
    </w:p>
    <w:p w:rsidR="00B00DB8" w:rsidRPr="00BC7DA3" w:rsidRDefault="00B00DB8" w:rsidP="00B00DB8">
      <w:pPr>
        <w:ind w:firstLine="708"/>
        <w:jc w:val="both"/>
        <w:rPr>
          <w:color w:val="000000"/>
          <w:szCs w:val="28"/>
        </w:rPr>
      </w:pPr>
      <w:r w:rsidRPr="00BC7DA3">
        <w:rPr>
          <w:color w:val="000000"/>
          <w:szCs w:val="28"/>
        </w:rPr>
        <w:t xml:space="preserve">Водночас </w:t>
      </w:r>
      <w:r w:rsidR="002C1C7F">
        <w:rPr>
          <w:color w:val="000000"/>
          <w:szCs w:val="28"/>
        </w:rPr>
        <w:t xml:space="preserve">Комітет </w:t>
      </w:r>
      <w:r w:rsidRPr="00BC7DA3">
        <w:rPr>
          <w:color w:val="000000"/>
          <w:szCs w:val="28"/>
        </w:rPr>
        <w:t>зазнач</w:t>
      </w:r>
      <w:r w:rsidR="002C1C7F">
        <w:rPr>
          <w:color w:val="000000"/>
          <w:szCs w:val="28"/>
        </w:rPr>
        <w:t>ив</w:t>
      </w:r>
      <w:r w:rsidRPr="00BC7DA3">
        <w:rPr>
          <w:color w:val="000000"/>
          <w:szCs w:val="28"/>
        </w:rPr>
        <w:t>, що 13 липня 2017 року Верховною Радою України прийнято Закон України «Про Конституційний Суд України», який набрав чинності з 2 серпня 2017 року. Отже, на</w:t>
      </w:r>
      <w:r>
        <w:rPr>
          <w:color w:val="000000"/>
          <w:szCs w:val="28"/>
        </w:rPr>
        <w:t xml:space="preserve"> </w:t>
      </w:r>
      <w:r w:rsidRPr="00BC7DA3">
        <w:rPr>
          <w:color w:val="000000"/>
          <w:szCs w:val="28"/>
        </w:rPr>
        <w:t>сьогодні новели, запропоновані у поданому законопроекті суб’єктами</w:t>
      </w:r>
      <w:r>
        <w:rPr>
          <w:color w:val="000000"/>
          <w:szCs w:val="28"/>
        </w:rPr>
        <w:t xml:space="preserve"> права законодавчої ініціативи, пропонуються не до чинного закону і </w:t>
      </w:r>
      <w:r w:rsidRPr="00BC7DA3">
        <w:rPr>
          <w:color w:val="000000"/>
          <w:szCs w:val="28"/>
        </w:rPr>
        <w:t xml:space="preserve">втратили актуальність. </w:t>
      </w:r>
    </w:p>
    <w:p w:rsidR="00B00DB8" w:rsidRDefault="00B00DB8" w:rsidP="00B00DB8">
      <w:pPr>
        <w:jc w:val="both"/>
        <w:rPr>
          <w:color w:val="000000"/>
          <w:szCs w:val="28"/>
        </w:rPr>
      </w:pPr>
      <w:r w:rsidRPr="00BC7DA3">
        <w:rPr>
          <w:color w:val="000000"/>
          <w:szCs w:val="28"/>
        </w:rPr>
        <w:tab/>
        <w:t xml:space="preserve"> При </w:t>
      </w:r>
      <w:r w:rsidR="002C1C7F">
        <w:rPr>
          <w:color w:val="000000"/>
          <w:szCs w:val="28"/>
        </w:rPr>
        <w:t xml:space="preserve">підготовці висновку Комітету </w:t>
      </w:r>
      <w:r w:rsidRPr="00BC7DA3">
        <w:rPr>
          <w:color w:val="000000"/>
          <w:szCs w:val="28"/>
        </w:rPr>
        <w:t xml:space="preserve">взято до уваги  висновки щодо </w:t>
      </w:r>
      <w:r w:rsidR="002C1C7F">
        <w:rPr>
          <w:color w:val="000000"/>
          <w:szCs w:val="28"/>
        </w:rPr>
        <w:t>законопроекту</w:t>
      </w:r>
      <w:r w:rsidRPr="00BC7DA3">
        <w:rPr>
          <w:color w:val="000000"/>
          <w:szCs w:val="28"/>
        </w:rPr>
        <w:t>, які наді</w:t>
      </w:r>
      <w:r>
        <w:rPr>
          <w:color w:val="000000"/>
          <w:szCs w:val="28"/>
        </w:rPr>
        <w:t>й</w:t>
      </w:r>
      <w:r w:rsidRPr="00BC7DA3">
        <w:rPr>
          <w:color w:val="000000"/>
          <w:szCs w:val="28"/>
        </w:rPr>
        <w:t>шли від комітетів Верховної Ради України</w:t>
      </w:r>
      <w:r>
        <w:rPr>
          <w:color w:val="000000"/>
          <w:szCs w:val="28"/>
        </w:rPr>
        <w:t xml:space="preserve"> </w:t>
      </w:r>
      <w:r w:rsidRPr="00BC7DA3">
        <w:rPr>
          <w:color w:val="000000"/>
          <w:szCs w:val="28"/>
        </w:rPr>
        <w:t>з питань європейської інтеграції</w:t>
      </w:r>
      <w:r>
        <w:rPr>
          <w:color w:val="000000"/>
          <w:szCs w:val="28"/>
        </w:rPr>
        <w:t xml:space="preserve">, </w:t>
      </w:r>
      <w:r w:rsidRPr="00BC7DA3">
        <w:rPr>
          <w:color w:val="000000"/>
          <w:szCs w:val="28"/>
        </w:rPr>
        <w:t>з питань бюджету</w:t>
      </w:r>
      <w:r>
        <w:rPr>
          <w:color w:val="000000"/>
          <w:szCs w:val="28"/>
        </w:rPr>
        <w:t xml:space="preserve">, </w:t>
      </w:r>
      <w:r w:rsidRPr="00BC7DA3">
        <w:rPr>
          <w:color w:val="000000"/>
          <w:szCs w:val="28"/>
        </w:rPr>
        <w:t>з питань запобігання і протидії корупції</w:t>
      </w:r>
      <w:r>
        <w:rPr>
          <w:color w:val="000000"/>
          <w:szCs w:val="28"/>
        </w:rPr>
        <w:t>, з питань правової політики та правосуддя.</w:t>
      </w:r>
    </w:p>
    <w:p w:rsidR="00B00DB8" w:rsidRPr="00BC7DA3" w:rsidRDefault="00B00DB8" w:rsidP="00B00DB8">
      <w:pPr>
        <w:ind w:firstLine="708"/>
        <w:jc w:val="both"/>
        <w:rPr>
          <w:color w:val="000000"/>
          <w:szCs w:val="28"/>
        </w:rPr>
      </w:pPr>
      <w:r>
        <w:rPr>
          <w:color w:val="000000"/>
          <w:szCs w:val="28"/>
        </w:rPr>
        <w:t>Головне науково-експертне управління Апарату Верховної Ради України висловило низку зауважень до проекту Закону (реєстр. № 3234).</w:t>
      </w:r>
    </w:p>
    <w:p w:rsidR="002C1C7F" w:rsidRPr="002C1C7F" w:rsidRDefault="00B00DB8" w:rsidP="002C1C7F">
      <w:pPr>
        <w:ind w:firstLine="709"/>
        <w:jc w:val="both"/>
        <w:rPr>
          <w:sz w:val="27"/>
          <w:szCs w:val="27"/>
          <w:lang w:eastAsia="uk-UA"/>
        </w:rPr>
      </w:pPr>
      <w:r w:rsidRPr="00BC7DA3">
        <w:t xml:space="preserve">Враховуючи вищевикладене, </w:t>
      </w:r>
      <w:r>
        <w:t xml:space="preserve">а також те, що проект Закону України </w:t>
      </w:r>
      <w:r w:rsidRPr="00BC7DA3">
        <w:rPr>
          <w:szCs w:val="28"/>
        </w:rPr>
        <w:t xml:space="preserve">«Про внесення змін до законів  України «Про Регламент Верховної Ради України» та «Про Конституційний Суд України» щодо боротьби із затягуванням та популізмом у процесі законодавчої діяльності», внесений народними депутатами України Москаленком Я.М., </w:t>
      </w:r>
      <w:proofErr w:type="spellStart"/>
      <w:r w:rsidRPr="00BC7DA3">
        <w:rPr>
          <w:szCs w:val="28"/>
        </w:rPr>
        <w:t>Івахівим</w:t>
      </w:r>
      <w:proofErr w:type="spellEnd"/>
      <w:r w:rsidRPr="00BC7DA3">
        <w:rPr>
          <w:szCs w:val="28"/>
        </w:rPr>
        <w:t xml:space="preserve"> С.П. та </w:t>
      </w:r>
      <w:proofErr w:type="spellStart"/>
      <w:r w:rsidRPr="00BC7DA3">
        <w:rPr>
          <w:szCs w:val="28"/>
        </w:rPr>
        <w:t>Мартиняком</w:t>
      </w:r>
      <w:proofErr w:type="spellEnd"/>
      <w:r w:rsidRPr="00BC7DA3">
        <w:rPr>
          <w:szCs w:val="28"/>
        </w:rPr>
        <w:t xml:space="preserve"> С.В. (реєстр. №</w:t>
      </w:r>
      <w:r>
        <w:rPr>
          <w:szCs w:val="28"/>
        </w:rPr>
        <w:t xml:space="preserve"> </w:t>
      </w:r>
      <w:r w:rsidRPr="00BC7DA3">
        <w:rPr>
          <w:szCs w:val="28"/>
        </w:rPr>
        <w:t xml:space="preserve">3234 від 06.10.2015),  </w:t>
      </w:r>
      <w:r>
        <w:rPr>
          <w:szCs w:val="28"/>
        </w:rPr>
        <w:t>суперечить положенням Конституції України і тому новели, запропоновані в ньому</w:t>
      </w:r>
      <w:r w:rsidR="002C1C7F">
        <w:rPr>
          <w:szCs w:val="28"/>
        </w:rPr>
        <w:t>,</w:t>
      </w:r>
      <w:r>
        <w:rPr>
          <w:szCs w:val="28"/>
        </w:rPr>
        <w:t xml:space="preserve"> не можуть бути підтримані, а відтак законопроект може бути запропоновано для відхилення Верховною Радою України при розгляді його в першому читанні, </w:t>
      </w:r>
      <w:r w:rsidRPr="00BC7DA3">
        <w:t>Комітет ухвали</w:t>
      </w:r>
      <w:r w:rsidR="002C1C7F">
        <w:t>в</w:t>
      </w:r>
      <w:r w:rsidRPr="00BC7DA3">
        <w:t xml:space="preserve"> висновок на </w:t>
      </w:r>
      <w:r w:rsidRPr="00BC7DA3">
        <w:lastRenderedPageBreak/>
        <w:t xml:space="preserve">проект Закону України </w:t>
      </w:r>
      <w:r>
        <w:t xml:space="preserve">(реєстр. № 3234), </w:t>
      </w:r>
      <w:r w:rsidR="002C1C7F" w:rsidRPr="002C1C7F">
        <w:rPr>
          <w:szCs w:val="28"/>
          <w:lang w:eastAsia="uk-UA"/>
        </w:rPr>
        <w:t xml:space="preserve">та прийняв рішення </w:t>
      </w:r>
      <w:r w:rsidR="002C1C7F" w:rsidRPr="002C1C7F">
        <w:rPr>
          <w:sz w:val="27"/>
          <w:szCs w:val="27"/>
          <w:lang w:eastAsia="uk-UA"/>
        </w:rPr>
        <w:t xml:space="preserve">відповідно до положень частини третьої статті 93 Регламенту Верховної Ради України рекомендувати Верховній Раді  України не включати проект Закону (реєстр.                      № </w:t>
      </w:r>
      <w:r w:rsidR="00C9610B">
        <w:rPr>
          <w:sz w:val="27"/>
          <w:szCs w:val="27"/>
          <w:lang w:eastAsia="uk-UA"/>
        </w:rPr>
        <w:t>3234</w:t>
      </w:r>
      <w:r w:rsidR="002C1C7F" w:rsidRPr="002C1C7F">
        <w:rPr>
          <w:sz w:val="27"/>
          <w:szCs w:val="27"/>
          <w:lang w:eastAsia="uk-UA"/>
        </w:rPr>
        <w:t>) до порядку денного дев’ятої сесії Верховної Ради України восьмого скликання.</w:t>
      </w:r>
    </w:p>
    <w:p w:rsidR="002C1C7F" w:rsidRPr="002C1C7F" w:rsidRDefault="002C1C7F" w:rsidP="002C1C7F">
      <w:pPr>
        <w:ind w:firstLine="709"/>
        <w:jc w:val="both"/>
        <w:rPr>
          <w:sz w:val="27"/>
          <w:szCs w:val="27"/>
          <w:lang w:eastAsia="uk-UA"/>
        </w:rPr>
      </w:pPr>
    </w:p>
    <w:p w:rsidR="002C1C7F" w:rsidRPr="002C1C7F" w:rsidRDefault="002C1C7F" w:rsidP="002C1C7F">
      <w:pPr>
        <w:ind w:firstLine="709"/>
        <w:jc w:val="both"/>
        <w:rPr>
          <w:sz w:val="27"/>
          <w:szCs w:val="27"/>
          <w:lang w:eastAsia="uk-UA"/>
        </w:rPr>
      </w:pPr>
    </w:p>
    <w:p w:rsidR="002C1C7F" w:rsidRPr="002C1C7F" w:rsidRDefault="002C1C7F" w:rsidP="002C1C7F">
      <w:pPr>
        <w:ind w:firstLine="709"/>
        <w:jc w:val="both"/>
        <w:rPr>
          <w:b/>
          <w:sz w:val="27"/>
          <w:szCs w:val="27"/>
          <w:lang w:eastAsia="uk-UA"/>
        </w:rPr>
      </w:pPr>
      <w:r w:rsidRPr="002C1C7F">
        <w:rPr>
          <w:b/>
          <w:sz w:val="27"/>
          <w:szCs w:val="27"/>
          <w:lang w:eastAsia="uk-UA"/>
        </w:rPr>
        <w:t>Перший заступник</w:t>
      </w:r>
    </w:p>
    <w:p w:rsidR="002C1C7F" w:rsidRPr="002C1C7F" w:rsidRDefault="002C1C7F" w:rsidP="002C1C7F">
      <w:pPr>
        <w:ind w:firstLine="709"/>
        <w:jc w:val="both"/>
        <w:rPr>
          <w:b/>
          <w:sz w:val="27"/>
          <w:szCs w:val="27"/>
          <w:lang w:eastAsia="uk-UA"/>
        </w:rPr>
      </w:pPr>
      <w:r w:rsidRPr="002C1C7F">
        <w:rPr>
          <w:b/>
          <w:sz w:val="27"/>
          <w:szCs w:val="27"/>
          <w:lang w:eastAsia="uk-UA"/>
        </w:rPr>
        <w:t>Голови Комітету                                                             П.В.ПИНЗЕНИК</w:t>
      </w:r>
    </w:p>
    <w:p w:rsidR="002C1C7F" w:rsidRPr="002C1C7F" w:rsidRDefault="002C1C7F" w:rsidP="002C1C7F">
      <w:pPr>
        <w:ind w:firstLine="720"/>
        <w:jc w:val="center"/>
        <w:rPr>
          <w:szCs w:val="28"/>
        </w:rPr>
      </w:pPr>
    </w:p>
    <w:p w:rsidR="002C1C7F" w:rsidRDefault="002C1C7F" w:rsidP="00B00DB8">
      <w:pPr>
        <w:ind w:firstLine="709"/>
        <w:jc w:val="both"/>
      </w:pPr>
    </w:p>
    <w:p w:rsidR="002C1C7F" w:rsidRPr="00BC7DA3" w:rsidRDefault="002C1C7F" w:rsidP="00B00DB8">
      <w:pPr>
        <w:ind w:firstLine="709"/>
        <w:jc w:val="both"/>
        <w:rPr>
          <w:szCs w:val="28"/>
          <w:lang w:eastAsia="uk-UA"/>
        </w:rPr>
      </w:pPr>
    </w:p>
    <w:p w:rsidR="005204CF" w:rsidRDefault="005204CF"/>
    <w:sectPr w:rsidR="005204CF" w:rsidSect="00F04799">
      <w:headerReference w:type="even" r:id="rId8"/>
      <w:headerReference w:type="default" r:id="rId9"/>
      <w:pgSz w:w="11906" w:h="16838"/>
      <w:pgMar w:top="567" w:right="850"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6150" w:rsidRDefault="000C6150">
      <w:r>
        <w:separator/>
      </w:r>
    </w:p>
  </w:endnote>
  <w:endnote w:type="continuationSeparator" w:id="0">
    <w:p w:rsidR="000C6150" w:rsidRDefault="000C6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6150" w:rsidRDefault="000C6150">
      <w:r>
        <w:separator/>
      </w:r>
    </w:p>
  </w:footnote>
  <w:footnote w:type="continuationSeparator" w:id="0">
    <w:p w:rsidR="000C6150" w:rsidRDefault="000C61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BBC" w:rsidRDefault="00C9610B" w:rsidP="0023642C">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F04799">
      <w:rPr>
        <w:rStyle w:val="a5"/>
        <w:noProof/>
      </w:rPr>
      <w:t>7</w:t>
    </w:r>
    <w:r>
      <w:rPr>
        <w:rStyle w:val="a5"/>
      </w:rPr>
      <w:fldChar w:fldCharType="end"/>
    </w:r>
  </w:p>
  <w:p w:rsidR="00FB1BBC" w:rsidRDefault="000C6150" w:rsidP="00AF50D0">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BBC" w:rsidRDefault="00C9610B" w:rsidP="0023642C">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F04799">
      <w:rPr>
        <w:rStyle w:val="a5"/>
        <w:noProof/>
      </w:rPr>
      <w:t>2</w:t>
    </w:r>
    <w:r>
      <w:rPr>
        <w:rStyle w:val="a5"/>
      </w:rPr>
      <w:fldChar w:fldCharType="end"/>
    </w:r>
  </w:p>
  <w:p w:rsidR="00FB1BBC" w:rsidRDefault="000C6150" w:rsidP="00AF50D0">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DB8"/>
    <w:rsid w:val="000C6150"/>
    <w:rsid w:val="00175765"/>
    <w:rsid w:val="001E1ABE"/>
    <w:rsid w:val="002C115D"/>
    <w:rsid w:val="002C1C7F"/>
    <w:rsid w:val="005204CF"/>
    <w:rsid w:val="005F6FAE"/>
    <w:rsid w:val="00683A04"/>
    <w:rsid w:val="00764336"/>
    <w:rsid w:val="00816CEF"/>
    <w:rsid w:val="00B00DB8"/>
    <w:rsid w:val="00B84FBF"/>
    <w:rsid w:val="00C17125"/>
    <w:rsid w:val="00C9610B"/>
    <w:rsid w:val="00CA3A3C"/>
    <w:rsid w:val="00F0479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6E820"/>
  <w15:chartTrackingRefBased/>
  <w15:docId w15:val="{81617A65-EE3E-4B3A-80F0-F5CA656AF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00DB8"/>
    <w:pPr>
      <w:spacing w:after="0" w:line="240" w:lineRule="auto"/>
    </w:pPr>
    <w:rPr>
      <w:rFonts w:eastAsia="Times New Roman" w:cs="Times New Roman"/>
      <w:szCs w:val="24"/>
      <w:lang w:eastAsia="ru-RU"/>
    </w:rPr>
  </w:style>
  <w:style w:type="paragraph" w:styleId="3">
    <w:name w:val="heading 3"/>
    <w:basedOn w:val="a"/>
    <w:link w:val="30"/>
    <w:qFormat/>
    <w:rsid w:val="00B00DB8"/>
    <w:pPr>
      <w:spacing w:before="100" w:beforeAutospacing="1" w:after="100" w:afterAutospacing="1"/>
      <w:outlineLvl w:val="2"/>
    </w:pPr>
    <w:rPr>
      <w:rFonts w:ascii="Arial Unicode MS" w:eastAsia="Arial Unicode MS" w:hAnsi="Arial Unicode MS" w:cs="Arial Unicode MS"/>
      <w:b/>
      <w:bCs/>
      <w:sz w:val="17"/>
      <w:szCs w:val="1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00DB8"/>
    <w:rPr>
      <w:rFonts w:ascii="Arial Unicode MS" w:eastAsia="Arial Unicode MS" w:hAnsi="Arial Unicode MS" w:cs="Arial Unicode MS"/>
      <w:b/>
      <w:bCs/>
      <w:sz w:val="17"/>
      <w:szCs w:val="17"/>
      <w:lang w:val="ru-RU" w:eastAsia="ru-RU"/>
    </w:rPr>
  </w:style>
  <w:style w:type="paragraph" w:styleId="a3">
    <w:name w:val="header"/>
    <w:basedOn w:val="a"/>
    <w:link w:val="a4"/>
    <w:rsid w:val="00B00DB8"/>
    <w:pPr>
      <w:tabs>
        <w:tab w:val="center" w:pos="4819"/>
        <w:tab w:val="right" w:pos="9639"/>
      </w:tabs>
    </w:pPr>
  </w:style>
  <w:style w:type="character" w:customStyle="1" w:styleId="a4">
    <w:name w:val="Верхній колонтитул Знак"/>
    <w:basedOn w:val="a0"/>
    <w:link w:val="a3"/>
    <w:rsid w:val="00B00DB8"/>
    <w:rPr>
      <w:rFonts w:eastAsia="Times New Roman" w:cs="Times New Roman"/>
      <w:szCs w:val="24"/>
      <w:lang w:eastAsia="ru-RU"/>
    </w:rPr>
  </w:style>
  <w:style w:type="character" w:styleId="a5">
    <w:name w:val="page number"/>
    <w:basedOn w:val="a0"/>
    <w:rsid w:val="00B00DB8"/>
  </w:style>
  <w:style w:type="paragraph" w:styleId="a6">
    <w:name w:val="Balloon Text"/>
    <w:basedOn w:val="a"/>
    <w:link w:val="a7"/>
    <w:uiPriority w:val="99"/>
    <w:semiHidden/>
    <w:unhideWhenUsed/>
    <w:rsid w:val="00683A04"/>
    <w:rPr>
      <w:rFonts w:ascii="Segoe UI" w:hAnsi="Segoe UI" w:cs="Segoe UI"/>
      <w:sz w:val="18"/>
      <w:szCs w:val="18"/>
    </w:rPr>
  </w:style>
  <w:style w:type="character" w:customStyle="1" w:styleId="a7">
    <w:name w:val="Текст у виносці Знак"/>
    <w:basedOn w:val="a0"/>
    <w:link w:val="a6"/>
    <w:uiPriority w:val="99"/>
    <w:semiHidden/>
    <w:rsid w:val="00683A0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zakon2.rada.gov.ua/rada/show/254%D0%BA/96-%D0%B2%D1%80/paran24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2.rada.gov.ua/rada/show/254%D0%BA/96-%D0%B2%D1%80/paran2432"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7</Pages>
  <Words>10765</Words>
  <Characters>6137</Characters>
  <Application>Microsoft Office Word</Application>
  <DocSecurity>0</DocSecurity>
  <Lines>51</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11</cp:revision>
  <cp:lastPrinted>2018-07-06T09:52:00Z</cp:lastPrinted>
  <dcterms:created xsi:type="dcterms:W3CDTF">2018-07-03T11:26:00Z</dcterms:created>
  <dcterms:modified xsi:type="dcterms:W3CDTF">2018-07-06T09:53:00Z</dcterms:modified>
</cp:coreProperties>
</file>