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952A31" w:rsidRPr="00952A31" w:rsidRDefault="00952A31" w:rsidP="00952A3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</w:t>
      </w:r>
      <w:r w:rsidRPr="00952A31">
        <w:rPr>
          <w:color w:val="000000"/>
          <w:sz w:val="28"/>
          <w:szCs w:val="28"/>
          <w:lang w:val="uk-UA"/>
        </w:rPr>
        <w:t xml:space="preserve">Комітет з </w:t>
      </w:r>
      <w:r w:rsidRPr="00952A31">
        <w:rPr>
          <w:bCs/>
          <w:color w:val="000000"/>
          <w:sz w:val="28"/>
          <w:szCs w:val="28"/>
          <w:lang w:val="uk-UA"/>
        </w:rPr>
        <w:t xml:space="preserve">питань європейської </w:t>
      </w:r>
      <w:r w:rsidRPr="00952A31">
        <w:rPr>
          <w:color w:val="000000"/>
          <w:sz w:val="28"/>
          <w:szCs w:val="28"/>
          <w:lang w:val="uk-UA"/>
        </w:rPr>
        <w:t>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952A31" w:rsidRDefault="00952A31" w:rsidP="00952A31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952A31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Господарського процесуального кодексу України (щодо встановлення правил залишення позовної заяви, апеляційної та касаційної скарги без руху) (реєстр.№3291 від 09.10.2015) і дійшов висновку про те, що зазначений законопроект не належить до пріоритетних сфер</w:t>
      </w:r>
      <w:r w:rsidRPr="00952A31">
        <w:rPr>
          <w:color w:val="000000"/>
          <w:sz w:val="28"/>
          <w:szCs w:val="28"/>
          <w:lang w:val="uk-UA"/>
        </w:rPr>
        <w:t xml:space="preserve">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3C63CD" w:rsidRPr="00952A31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952A31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617581"/>
    <w:rsid w:val="007A6E19"/>
    <w:rsid w:val="00952A31"/>
    <w:rsid w:val="00AA1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Company>Krokoz™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2019-04-16T13:06:00Z</dcterms:modified>
</cp:coreProperties>
</file>