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2780" w:rsidRPr="00E92780" w:rsidRDefault="00E92780" w:rsidP="00E92780">
      <w:pPr>
        <w:spacing w:after="0" w:line="240" w:lineRule="auto"/>
        <w:jc w:val="center"/>
        <w:outlineLvl w:val="2"/>
        <w:rPr>
          <w:rFonts w:eastAsia="Times New Roman"/>
          <w:b/>
          <w:bCs/>
          <w:szCs w:val="28"/>
          <w:lang w:val="uk-UA" w:eastAsia="ru-RU"/>
        </w:rPr>
      </w:pPr>
      <w:bookmarkStart w:id="0" w:name="_GoBack"/>
      <w:bookmarkEnd w:id="0"/>
    </w:p>
    <w:p w:rsidR="00E92780" w:rsidRPr="00E92780" w:rsidRDefault="00E92780" w:rsidP="00E92780">
      <w:pPr>
        <w:spacing w:after="0" w:line="240" w:lineRule="auto"/>
        <w:jc w:val="center"/>
        <w:outlineLvl w:val="2"/>
        <w:rPr>
          <w:rFonts w:eastAsia="Times New Roman"/>
          <w:b/>
          <w:bCs/>
          <w:szCs w:val="28"/>
          <w:lang w:val="uk-UA" w:eastAsia="ru-RU"/>
        </w:rPr>
      </w:pPr>
    </w:p>
    <w:p w:rsidR="00E92780" w:rsidRPr="00E92780" w:rsidRDefault="00E92780" w:rsidP="00E92780">
      <w:pPr>
        <w:spacing w:after="0" w:line="240" w:lineRule="auto"/>
        <w:jc w:val="center"/>
        <w:outlineLvl w:val="2"/>
        <w:rPr>
          <w:rFonts w:eastAsia="Times New Roman"/>
          <w:b/>
          <w:bCs/>
          <w:szCs w:val="28"/>
          <w:lang w:val="uk-UA" w:eastAsia="ru-RU"/>
        </w:rPr>
      </w:pPr>
    </w:p>
    <w:p w:rsidR="00E92780" w:rsidRPr="00E92780" w:rsidRDefault="00E92780" w:rsidP="00E92780">
      <w:pPr>
        <w:spacing w:after="0" w:line="240" w:lineRule="auto"/>
        <w:jc w:val="center"/>
        <w:outlineLvl w:val="2"/>
        <w:rPr>
          <w:rFonts w:eastAsia="Times New Roman"/>
          <w:b/>
          <w:bCs/>
          <w:szCs w:val="28"/>
          <w:lang w:val="uk-UA" w:eastAsia="ru-RU"/>
        </w:rPr>
      </w:pPr>
    </w:p>
    <w:p w:rsidR="00E92780" w:rsidRPr="00E92780" w:rsidRDefault="00E92780" w:rsidP="00E92780">
      <w:pPr>
        <w:spacing w:after="0" w:line="240" w:lineRule="auto"/>
        <w:jc w:val="center"/>
        <w:outlineLvl w:val="2"/>
        <w:rPr>
          <w:rFonts w:eastAsia="Times New Roman"/>
          <w:b/>
          <w:bCs/>
          <w:szCs w:val="28"/>
          <w:lang w:val="uk-UA" w:eastAsia="ru-RU"/>
        </w:rPr>
      </w:pPr>
    </w:p>
    <w:p w:rsidR="00E92780" w:rsidRPr="00E92780" w:rsidRDefault="00E92780" w:rsidP="00E92780">
      <w:pPr>
        <w:spacing w:after="0" w:line="240" w:lineRule="auto"/>
        <w:jc w:val="center"/>
        <w:outlineLvl w:val="2"/>
        <w:rPr>
          <w:rFonts w:eastAsia="Times New Roman"/>
          <w:b/>
          <w:bCs/>
          <w:szCs w:val="28"/>
          <w:lang w:val="uk-UA" w:eastAsia="ru-RU"/>
        </w:rPr>
      </w:pPr>
    </w:p>
    <w:p w:rsidR="00E92780" w:rsidRPr="00E92780" w:rsidRDefault="00E92780" w:rsidP="00E92780">
      <w:pPr>
        <w:spacing w:after="0" w:line="240" w:lineRule="auto"/>
        <w:jc w:val="center"/>
        <w:outlineLvl w:val="2"/>
        <w:rPr>
          <w:rFonts w:eastAsia="Times New Roman"/>
          <w:b/>
          <w:bCs/>
          <w:szCs w:val="28"/>
          <w:lang w:val="uk-UA" w:eastAsia="ru-RU"/>
        </w:rPr>
      </w:pPr>
    </w:p>
    <w:p w:rsidR="00E92780" w:rsidRPr="00E92780" w:rsidRDefault="00E92780" w:rsidP="00E92780">
      <w:pPr>
        <w:spacing w:after="0" w:line="240" w:lineRule="auto"/>
        <w:jc w:val="center"/>
        <w:outlineLvl w:val="2"/>
        <w:rPr>
          <w:rFonts w:eastAsia="Times New Roman"/>
          <w:b/>
          <w:bCs/>
          <w:szCs w:val="28"/>
          <w:lang w:val="uk-UA" w:eastAsia="ru-RU"/>
        </w:rPr>
      </w:pPr>
      <w:r w:rsidRPr="00E92780">
        <w:rPr>
          <w:rFonts w:eastAsia="Times New Roman"/>
          <w:b/>
          <w:bCs/>
          <w:szCs w:val="28"/>
          <w:lang w:val="uk-UA" w:eastAsia="ru-RU"/>
        </w:rPr>
        <w:t>ВИСНОВОК</w:t>
      </w:r>
    </w:p>
    <w:p w:rsidR="00E92780" w:rsidRPr="00E92780" w:rsidRDefault="00E92780" w:rsidP="00E92780">
      <w:pPr>
        <w:spacing w:after="0" w:line="240" w:lineRule="auto"/>
        <w:jc w:val="center"/>
        <w:outlineLvl w:val="2"/>
        <w:rPr>
          <w:rFonts w:eastAsia="Times New Roman"/>
          <w:b/>
          <w:bCs/>
          <w:szCs w:val="28"/>
          <w:lang w:val="uk-UA" w:eastAsia="ru-RU"/>
        </w:rPr>
      </w:pPr>
      <w:r w:rsidRPr="00E92780">
        <w:rPr>
          <w:rFonts w:eastAsia="Times New Roman"/>
          <w:b/>
          <w:bCs/>
          <w:szCs w:val="28"/>
          <w:lang w:val="uk-UA" w:eastAsia="ru-RU"/>
        </w:rPr>
        <w:t>на проект Закону України</w:t>
      </w:r>
    </w:p>
    <w:p w:rsidR="00061401" w:rsidRPr="00061401" w:rsidRDefault="0074492D" w:rsidP="00061401">
      <w:pPr>
        <w:spacing w:after="0" w:line="240" w:lineRule="auto"/>
        <w:jc w:val="center"/>
        <w:outlineLvl w:val="2"/>
        <w:rPr>
          <w:rFonts w:eastAsia="Times New Roman"/>
          <w:b/>
          <w:bCs/>
          <w:szCs w:val="28"/>
          <w:lang w:val="uk-UA" w:eastAsia="ru-RU"/>
        </w:rPr>
      </w:pPr>
      <w:r>
        <w:rPr>
          <w:rFonts w:eastAsia="Times New Roman"/>
          <w:b/>
          <w:bCs/>
          <w:szCs w:val="28"/>
          <w:lang w:val="uk-UA" w:eastAsia="ru-RU"/>
        </w:rPr>
        <w:t>«</w:t>
      </w:r>
      <w:r w:rsidR="00061401" w:rsidRPr="00061401">
        <w:rPr>
          <w:rFonts w:eastAsia="Times New Roman"/>
          <w:b/>
          <w:bCs/>
          <w:szCs w:val="28"/>
          <w:lang w:val="uk-UA" w:eastAsia="ru-RU"/>
        </w:rPr>
        <w:t>Про внесення змін до</w:t>
      </w:r>
      <w:r w:rsidR="005F04E5">
        <w:rPr>
          <w:rFonts w:eastAsia="Times New Roman"/>
          <w:b/>
          <w:bCs/>
          <w:szCs w:val="28"/>
          <w:lang w:val="uk-UA" w:eastAsia="ru-RU"/>
        </w:rPr>
        <w:t xml:space="preserve"> </w:t>
      </w:r>
      <w:r w:rsidR="00061401" w:rsidRPr="00061401">
        <w:rPr>
          <w:rFonts w:eastAsia="Times New Roman"/>
          <w:b/>
          <w:bCs/>
          <w:szCs w:val="28"/>
          <w:lang w:val="uk-UA" w:eastAsia="ru-RU"/>
        </w:rPr>
        <w:t>Кримінального та Кримінального процесуального кодексів України щодо відповідальності за пропаганду і поширення ідеології тероризму</w:t>
      </w:r>
      <w:r w:rsidR="00E13777">
        <w:rPr>
          <w:rFonts w:eastAsia="Times New Roman"/>
          <w:b/>
          <w:bCs/>
          <w:szCs w:val="28"/>
          <w:lang w:val="uk-UA" w:eastAsia="ru-RU"/>
        </w:rPr>
        <w:t>»</w:t>
      </w:r>
    </w:p>
    <w:p w:rsidR="00061401" w:rsidRDefault="00061401" w:rsidP="00061401">
      <w:pPr>
        <w:spacing w:after="0" w:line="240" w:lineRule="auto"/>
        <w:jc w:val="center"/>
        <w:outlineLvl w:val="2"/>
        <w:rPr>
          <w:rFonts w:eastAsia="Times New Roman"/>
          <w:b/>
          <w:bCs/>
          <w:sz w:val="27"/>
          <w:szCs w:val="27"/>
          <w:lang w:val="uk-UA" w:eastAsia="ru-RU"/>
        </w:rPr>
      </w:pPr>
    </w:p>
    <w:p w:rsidR="00061401" w:rsidRPr="00061401" w:rsidRDefault="00E92780" w:rsidP="00E13777">
      <w:pPr>
        <w:spacing w:after="0" w:line="240" w:lineRule="auto"/>
        <w:ind w:firstLine="709"/>
        <w:jc w:val="both"/>
        <w:outlineLvl w:val="2"/>
        <w:rPr>
          <w:rFonts w:eastAsia="Times New Roman"/>
          <w:szCs w:val="28"/>
          <w:lang w:val="uk-UA" w:eastAsia="ru-RU"/>
        </w:rPr>
      </w:pPr>
      <w:r w:rsidRPr="00E92780">
        <w:rPr>
          <w:rFonts w:eastAsia="Times New Roman"/>
          <w:spacing w:val="-4"/>
          <w:szCs w:val="28"/>
          <w:lang w:val="uk-UA" w:eastAsia="ru-RU"/>
        </w:rPr>
        <w:t xml:space="preserve">Законопроект спрямований на </w:t>
      </w:r>
      <w:r w:rsidR="00061401" w:rsidRPr="00061401">
        <w:rPr>
          <w:rFonts w:eastAsia="Times New Roman"/>
          <w:szCs w:val="28"/>
          <w:lang w:val="uk-UA" w:eastAsia="ru-RU"/>
        </w:rPr>
        <w:t>встановлення кримінальної відповідальності за пропаганду і поширення ідеології тероризму</w:t>
      </w:r>
      <w:r w:rsidR="00E13777">
        <w:rPr>
          <w:rFonts w:eastAsia="Times New Roman"/>
          <w:szCs w:val="28"/>
          <w:lang w:val="uk-UA" w:eastAsia="ru-RU"/>
        </w:rPr>
        <w:t xml:space="preserve">. </w:t>
      </w:r>
      <w:r w:rsidRPr="00E92780">
        <w:rPr>
          <w:rFonts w:eastAsia="Times New Roman"/>
          <w:szCs w:val="28"/>
          <w:lang w:val="uk-UA" w:eastAsia="ru-RU"/>
        </w:rPr>
        <w:t xml:space="preserve">З цією метою запропоновано внести зміни до </w:t>
      </w:r>
      <w:r w:rsidR="00061401" w:rsidRPr="00061401">
        <w:rPr>
          <w:rFonts w:eastAsia="Times New Roman"/>
          <w:szCs w:val="28"/>
          <w:lang w:val="uk-UA" w:eastAsia="ru-RU"/>
        </w:rPr>
        <w:t>Кримінального та Кримінального процесуального кодексів України</w:t>
      </w:r>
      <w:r w:rsidR="00623F5A">
        <w:rPr>
          <w:rFonts w:eastAsia="Times New Roman"/>
          <w:szCs w:val="28"/>
          <w:lang w:val="uk-UA" w:eastAsia="ru-RU"/>
        </w:rPr>
        <w:t xml:space="preserve"> (далі – КПК України)</w:t>
      </w:r>
      <w:r w:rsidR="00061401">
        <w:rPr>
          <w:rFonts w:eastAsia="Times New Roman"/>
          <w:szCs w:val="28"/>
          <w:lang w:val="uk-UA" w:eastAsia="ru-RU"/>
        </w:rPr>
        <w:t>, зокрема</w:t>
      </w:r>
      <w:r w:rsidR="005F04E5">
        <w:rPr>
          <w:rFonts w:eastAsia="Times New Roman"/>
          <w:szCs w:val="28"/>
          <w:lang w:val="uk-UA" w:eastAsia="ru-RU"/>
        </w:rPr>
        <w:t xml:space="preserve"> </w:t>
      </w:r>
      <w:r w:rsidR="00061401" w:rsidRPr="00061401">
        <w:rPr>
          <w:rFonts w:eastAsia="Times New Roman"/>
          <w:szCs w:val="28"/>
          <w:lang w:val="uk-UA" w:eastAsia="ru-RU"/>
        </w:rPr>
        <w:t xml:space="preserve">доповнити Кримінальний кодекс України </w:t>
      </w:r>
      <w:r w:rsidR="009E1144">
        <w:rPr>
          <w:rFonts w:eastAsia="Times New Roman"/>
          <w:szCs w:val="28"/>
          <w:lang w:val="uk-UA" w:eastAsia="ru-RU"/>
        </w:rPr>
        <w:t>(далі – КК України</w:t>
      </w:r>
      <w:r w:rsidR="00E13777">
        <w:rPr>
          <w:rFonts w:eastAsia="Times New Roman"/>
          <w:szCs w:val="28"/>
          <w:lang w:val="uk-UA" w:eastAsia="ru-RU"/>
        </w:rPr>
        <w:t>)</w:t>
      </w:r>
      <w:r w:rsidR="009E1144">
        <w:rPr>
          <w:rFonts w:eastAsia="Times New Roman"/>
          <w:szCs w:val="28"/>
          <w:lang w:val="uk-UA" w:eastAsia="ru-RU"/>
        </w:rPr>
        <w:t xml:space="preserve"> </w:t>
      </w:r>
      <w:r w:rsidR="00061401">
        <w:rPr>
          <w:rFonts w:eastAsia="Times New Roman"/>
          <w:szCs w:val="28"/>
          <w:lang w:val="uk-UA" w:eastAsia="ru-RU"/>
        </w:rPr>
        <w:t xml:space="preserve">новою </w:t>
      </w:r>
      <w:r w:rsidR="00061401" w:rsidRPr="00061401">
        <w:rPr>
          <w:rFonts w:eastAsia="Times New Roman"/>
          <w:szCs w:val="28"/>
          <w:lang w:val="uk-UA" w:eastAsia="ru-RU"/>
        </w:rPr>
        <w:t>статтею 258-6.</w:t>
      </w:r>
    </w:p>
    <w:p w:rsidR="00E92780" w:rsidRPr="00E92780" w:rsidRDefault="00E92780" w:rsidP="00E92780">
      <w:pPr>
        <w:spacing w:after="0" w:line="240" w:lineRule="auto"/>
        <w:ind w:firstLine="709"/>
        <w:jc w:val="both"/>
        <w:rPr>
          <w:rFonts w:eastAsia="Times New Roman"/>
          <w:color w:val="000000"/>
          <w:szCs w:val="28"/>
          <w:lang w:val="uk-UA" w:eastAsia="ru-RU"/>
        </w:rPr>
      </w:pPr>
      <w:r w:rsidRPr="00E92780">
        <w:rPr>
          <w:rFonts w:eastAsia="Times New Roman"/>
          <w:szCs w:val="28"/>
          <w:lang w:val="uk-UA" w:eastAsia="ru-RU"/>
        </w:rPr>
        <w:t>Головне науково-експертне управління, проаналізувавши законопроект</w:t>
      </w:r>
      <w:r w:rsidRPr="00E92780">
        <w:rPr>
          <w:rFonts w:eastAsia="Times New Roman"/>
          <w:color w:val="000000"/>
          <w:szCs w:val="28"/>
          <w:lang w:val="uk-UA" w:eastAsia="ru-RU"/>
        </w:rPr>
        <w:t>, вважає за необхідне звернути увагу на таке.</w:t>
      </w:r>
    </w:p>
    <w:p w:rsidR="00AB6A21" w:rsidRPr="00AB6A21" w:rsidRDefault="00E92780" w:rsidP="00AB6A21">
      <w:pPr>
        <w:spacing w:after="0" w:line="240" w:lineRule="auto"/>
        <w:ind w:firstLine="709"/>
        <w:jc w:val="both"/>
        <w:rPr>
          <w:rFonts w:eastAsia="Times New Roman"/>
          <w:color w:val="000000"/>
          <w:szCs w:val="28"/>
          <w:lang w:val="uk-UA" w:eastAsia="ru-RU"/>
        </w:rPr>
      </w:pPr>
      <w:r w:rsidRPr="00E92780">
        <w:rPr>
          <w:rFonts w:eastAsia="Times New Roman"/>
          <w:color w:val="000000"/>
          <w:szCs w:val="28"/>
          <w:lang w:val="uk-UA" w:eastAsia="ru-RU"/>
        </w:rPr>
        <w:t xml:space="preserve">1. </w:t>
      </w:r>
      <w:r w:rsidR="000B7BD5">
        <w:rPr>
          <w:rFonts w:eastAsia="Times New Roman"/>
          <w:color w:val="000000"/>
          <w:szCs w:val="28"/>
          <w:lang w:val="uk-UA" w:eastAsia="ru-RU"/>
        </w:rPr>
        <w:t>Формулювання частини першої запропонованої у проекті статті 258-6 КК України не дають змоги чітко визначити коло заборонених діянь і відмежувати злочинні діяння від діянь, які мають вважатись дозволеними. Це пов</w:t>
      </w:r>
      <w:r w:rsidR="000B7BD5" w:rsidRPr="000B7BD5">
        <w:rPr>
          <w:rFonts w:eastAsia="Times New Roman"/>
          <w:color w:val="000000"/>
          <w:szCs w:val="28"/>
          <w:lang w:val="uk-UA" w:eastAsia="ru-RU"/>
        </w:rPr>
        <w:t>’</w:t>
      </w:r>
      <w:r w:rsidR="000B7BD5">
        <w:rPr>
          <w:rFonts w:eastAsia="Times New Roman"/>
          <w:color w:val="000000"/>
          <w:szCs w:val="28"/>
          <w:lang w:val="uk-UA" w:eastAsia="ru-RU"/>
        </w:rPr>
        <w:t xml:space="preserve">язано, зокрема, з відсутністю однозначного, чіткого і визнаного структурами державної влади визначення </w:t>
      </w:r>
      <w:r w:rsidR="00AB6A21" w:rsidRPr="00AB6A21">
        <w:rPr>
          <w:rFonts w:eastAsia="Times New Roman"/>
          <w:color w:val="000000"/>
          <w:szCs w:val="28"/>
          <w:lang w:val="uk-UA" w:eastAsia="ru-RU"/>
        </w:rPr>
        <w:t>термін</w:t>
      </w:r>
      <w:r w:rsidR="000B7BD5">
        <w:rPr>
          <w:rFonts w:eastAsia="Times New Roman"/>
          <w:color w:val="000000"/>
          <w:szCs w:val="28"/>
          <w:lang w:val="uk-UA" w:eastAsia="ru-RU"/>
        </w:rPr>
        <w:t>у</w:t>
      </w:r>
      <w:r w:rsidR="00AB6A21" w:rsidRPr="00AB6A21">
        <w:rPr>
          <w:rFonts w:eastAsia="Times New Roman"/>
          <w:color w:val="000000"/>
          <w:szCs w:val="28"/>
          <w:lang w:val="uk-UA" w:eastAsia="ru-RU"/>
        </w:rPr>
        <w:t xml:space="preserve"> </w:t>
      </w:r>
      <w:r w:rsidR="0074492D">
        <w:rPr>
          <w:rFonts w:eastAsia="Times New Roman"/>
          <w:color w:val="000000"/>
          <w:szCs w:val="28"/>
          <w:lang w:val="uk-UA" w:eastAsia="ru-RU"/>
        </w:rPr>
        <w:t>«</w:t>
      </w:r>
      <w:r w:rsidR="00AB6A21" w:rsidRPr="00AB6A21">
        <w:rPr>
          <w:rFonts w:eastAsia="Times New Roman"/>
          <w:color w:val="000000"/>
          <w:szCs w:val="28"/>
          <w:lang w:val="uk-UA" w:eastAsia="ru-RU"/>
        </w:rPr>
        <w:t>ідеологія тероризму</w:t>
      </w:r>
      <w:r w:rsidR="0074492D">
        <w:rPr>
          <w:rFonts w:eastAsia="Times New Roman"/>
          <w:color w:val="000000"/>
          <w:szCs w:val="28"/>
          <w:lang w:val="uk-UA" w:eastAsia="ru-RU"/>
        </w:rPr>
        <w:t>»</w:t>
      </w:r>
      <w:r w:rsidR="000B7BD5">
        <w:rPr>
          <w:rFonts w:eastAsia="Times New Roman"/>
          <w:color w:val="000000"/>
          <w:szCs w:val="28"/>
          <w:lang w:val="uk-UA" w:eastAsia="ru-RU"/>
        </w:rPr>
        <w:t xml:space="preserve">. З огляду на це </w:t>
      </w:r>
      <w:r w:rsidR="00BC6A6B">
        <w:rPr>
          <w:rFonts w:eastAsia="Times New Roman"/>
          <w:color w:val="000000"/>
          <w:szCs w:val="28"/>
          <w:lang w:val="uk-UA" w:eastAsia="ru-RU"/>
        </w:rPr>
        <w:t xml:space="preserve">відкриваються широкі можливості для суб’єктивного і навіть довільного застосування </w:t>
      </w:r>
      <w:r w:rsidR="000B7BD5">
        <w:rPr>
          <w:rFonts w:eastAsia="Times New Roman"/>
          <w:color w:val="000000"/>
          <w:szCs w:val="28"/>
          <w:lang w:val="uk-UA" w:eastAsia="ru-RU"/>
        </w:rPr>
        <w:t>положен</w:t>
      </w:r>
      <w:r w:rsidR="00BC6A6B">
        <w:rPr>
          <w:rFonts w:eastAsia="Times New Roman"/>
          <w:color w:val="000000"/>
          <w:szCs w:val="28"/>
          <w:lang w:val="uk-UA" w:eastAsia="ru-RU"/>
        </w:rPr>
        <w:t>ь</w:t>
      </w:r>
      <w:r w:rsidR="000B7BD5">
        <w:rPr>
          <w:rFonts w:eastAsia="Times New Roman"/>
          <w:color w:val="000000"/>
          <w:szCs w:val="28"/>
          <w:lang w:val="uk-UA" w:eastAsia="ru-RU"/>
        </w:rPr>
        <w:t xml:space="preserve"> </w:t>
      </w:r>
      <w:r w:rsidR="00BC6A6B">
        <w:rPr>
          <w:rFonts w:eastAsia="Times New Roman"/>
          <w:color w:val="000000"/>
          <w:szCs w:val="28"/>
          <w:lang w:val="uk-UA" w:eastAsia="ru-RU"/>
        </w:rPr>
        <w:t>цієї</w:t>
      </w:r>
      <w:r w:rsidR="000B7BD5">
        <w:rPr>
          <w:rFonts w:eastAsia="Times New Roman"/>
          <w:color w:val="000000"/>
          <w:szCs w:val="28"/>
          <w:lang w:val="uk-UA" w:eastAsia="ru-RU"/>
        </w:rPr>
        <w:t xml:space="preserve"> статті</w:t>
      </w:r>
      <w:r w:rsidR="00BC6A6B">
        <w:rPr>
          <w:rFonts w:eastAsia="Times New Roman"/>
          <w:color w:val="000000"/>
          <w:szCs w:val="28"/>
          <w:lang w:val="uk-UA" w:eastAsia="ru-RU"/>
        </w:rPr>
        <w:t>.</w:t>
      </w:r>
      <w:r w:rsidR="000B7BD5">
        <w:rPr>
          <w:rFonts w:eastAsia="Times New Roman"/>
          <w:color w:val="000000"/>
          <w:szCs w:val="28"/>
          <w:lang w:val="uk-UA" w:eastAsia="ru-RU"/>
        </w:rPr>
        <w:t xml:space="preserve"> </w:t>
      </w:r>
      <w:r w:rsidR="00BC6A6B">
        <w:rPr>
          <w:rFonts w:eastAsia="Times New Roman"/>
          <w:color w:val="000000"/>
          <w:szCs w:val="28"/>
          <w:lang w:val="uk-UA" w:eastAsia="ru-RU"/>
        </w:rPr>
        <w:t>Це не узгоджується з</w:t>
      </w:r>
      <w:r w:rsidR="00AB6A21" w:rsidRPr="00AB6A21">
        <w:rPr>
          <w:rFonts w:eastAsia="Times New Roman"/>
          <w:color w:val="000000"/>
          <w:szCs w:val="28"/>
          <w:lang w:val="uk-UA" w:eastAsia="ru-RU"/>
        </w:rPr>
        <w:t xml:space="preserve"> принцип</w:t>
      </w:r>
      <w:r w:rsidR="00BC6A6B">
        <w:rPr>
          <w:rFonts w:eastAsia="Times New Roman"/>
          <w:color w:val="000000"/>
          <w:szCs w:val="28"/>
          <w:lang w:val="uk-UA" w:eastAsia="ru-RU"/>
        </w:rPr>
        <w:t>ом</w:t>
      </w:r>
      <w:r w:rsidR="00AB6A21" w:rsidRPr="00AB6A21">
        <w:rPr>
          <w:rFonts w:eastAsia="Times New Roman"/>
          <w:color w:val="000000"/>
          <w:szCs w:val="28"/>
          <w:lang w:val="uk-UA" w:eastAsia="ru-RU"/>
        </w:rPr>
        <w:t xml:space="preserve"> правової визначеності, який є однією з умов ефективної дії верховенства права, встановленого статтею 8 Конституції України. Звертаємо увагу, що </w:t>
      </w:r>
      <w:r w:rsidR="0074492D">
        <w:rPr>
          <w:rFonts w:eastAsia="Times New Roman"/>
          <w:color w:val="000000"/>
          <w:szCs w:val="28"/>
          <w:lang w:val="uk-UA" w:eastAsia="ru-RU"/>
        </w:rPr>
        <w:t>«</w:t>
      </w:r>
      <w:r w:rsidR="00AB6A21" w:rsidRPr="00AB6A21">
        <w:rPr>
          <w:rFonts w:eastAsia="Times New Roman"/>
          <w:color w:val="000000"/>
          <w:szCs w:val="28"/>
          <w:lang w:val="uk-UA" w:eastAsia="ru-RU"/>
        </w:rPr>
        <w:t>забезпечення реалізації вимог принципу правової визначеності у його широкому розумінні є запорукою не лише ефективних реалізації та захисту прав людини, а й значного вдосконалення механізму держави</w:t>
      </w:r>
      <w:r w:rsidR="0074492D">
        <w:rPr>
          <w:rFonts w:eastAsia="Times New Roman"/>
          <w:color w:val="000000"/>
          <w:szCs w:val="28"/>
          <w:lang w:val="uk-UA" w:eastAsia="ru-RU"/>
        </w:rPr>
        <w:t>»</w:t>
      </w:r>
      <w:r w:rsidR="00AB6A21" w:rsidRPr="00AB6A21">
        <w:rPr>
          <w:rFonts w:eastAsia="Times New Roman"/>
          <w:color w:val="000000"/>
          <w:szCs w:val="28"/>
          <w:lang w:val="uk-UA" w:eastAsia="ru-RU"/>
        </w:rPr>
        <w:t>.</w:t>
      </w:r>
    </w:p>
    <w:p w:rsidR="00AB6A21" w:rsidRPr="00AB6A21" w:rsidRDefault="00AB6A21" w:rsidP="00AB6A21">
      <w:pPr>
        <w:spacing w:after="0" w:line="240" w:lineRule="auto"/>
        <w:ind w:firstLine="709"/>
        <w:jc w:val="both"/>
        <w:rPr>
          <w:rFonts w:eastAsia="Times New Roman"/>
          <w:color w:val="000000"/>
          <w:szCs w:val="28"/>
          <w:lang w:val="uk-UA" w:eastAsia="ru-RU"/>
        </w:rPr>
      </w:pPr>
      <w:r w:rsidRPr="00AB6A21">
        <w:rPr>
          <w:rFonts w:eastAsia="Times New Roman"/>
          <w:color w:val="000000"/>
          <w:szCs w:val="28"/>
          <w:lang w:val="uk-UA" w:eastAsia="ru-RU"/>
        </w:rPr>
        <w:t xml:space="preserve">Конституційний Суд України в Рішенні від 29 червня 2010 року у справі за конституційним поданням Уповноваженого Верховної Ради України з прав людини щодо відповідності Конституції України (конституційності) абзацу восьмого пункту 5 частини першої статті 11 Закону України </w:t>
      </w:r>
      <w:r w:rsidR="0074492D">
        <w:rPr>
          <w:rFonts w:eastAsia="Times New Roman"/>
          <w:color w:val="000000"/>
          <w:szCs w:val="28"/>
          <w:lang w:val="uk-UA" w:eastAsia="ru-RU"/>
        </w:rPr>
        <w:t>«</w:t>
      </w:r>
      <w:r w:rsidRPr="00AB6A21">
        <w:rPr>
          <w:rFonts w:eastAsia="Times New Roman"/>
          <w:color w:val="000000"/>
          <w:szCs w:val="28"/>
          <w:lang w:val="uk-UA" w:eastAsia="ru-RU"/>
        </w:rPr>
        <w:t>Про міліцію</w:t>
      </w:r>
      <w:r w:rsidR="0074492D">
        <w:rPr>
          <w:rFonts w:eastAsia="Times New Roman"/>
          <w:color w:val="000000"/>
          <w:szCs w:val="28"/>
          <w:lang w:val="uk-UA" w:eastAsia="ru-RU"/>
        </w:rPr>
        <w:t>»</w:t>
      </w:r>
      <w:r w:rsidRPr="00AB6A21">
        <w:rPr>
          <w:rFonts w:eastAsia="Times New Roman"/>
          <w:color w:val="000000"/>
          <w:szCs w:val="28"/>
          <w:lang w:val="uk-UA" w:eastAsia="ru-RU"/>
        </w:rPr>
        <w:t xml:space="preserve"> вказав, що </w:t>
      </w:r>
      <w:r w:rsidR="0074492D">
        <w:rPr>
          <w:rFonts w:eastAsia="Times New Roman"/>
          <w:color w:val="000000"/>
          <w:szCs w:val="28"/>
          <w:lang w:val="uk-UA" w:eastAsia="ru-RU"/>
        </w:rPr>
        <w:t>«</w:t>
      </w:r>
      <w:r w:rsidRPr="00AB6A21">
        <w:rPr>
          <w:rFonts w:eastAsia="Times New Roman"/>
          <w:color w:val="000000"/>
          <w:szCs w:val="28"/>
          <w:lang w:val="uk-UA" w:eastAsia="ru-RU"/>
        </w:rPr>
        <w:t>одним із елементів верховенства права є принцип правової визначеності, у якому стверджується, що обмеження основних прав людини та громадянина і втілення цих обмежень на практиці допустиме лише за умови забезпечення передбачуваності застосування правових норм, встановлених такими обмеженнями</w:t>
      </w:r>
      <w:r w:rsidR="0074492D">
        <w:rPr>
          <w:rFonts w:eastAsia="Times New Roman"/>
          <w:color w:val="000000"/>
          <w:szCs w:val="28"/>
          <w:lang w:val="uk-UA" w:eastAsia="ru-RU"/>
        </w:rPr>
        <w:t>»</w:t>
      </w:r>
      <w:r w:rsidRPr="00AB6A21">
        <w:rPr>
          <w:rFonts w:eastAsia="Times New Roman"/>
          <w:color w:val="000000"/>
          <w:szCs w:val="28"/>
          <w:lang w:val="uk-UA" w:eastAsia="ru-RU"/>
        </w:rPr>
        <w:t xml:space="preserve"> (абзац третій підпункту 3.1 пункту 3 мотивувальної частини).</w:t>
      </w:r>
    </w:p>
    <w:p w:rsidR="00AB6A21" w:rsidRDefault="00AB6A21" w:rsidP="00AB6A21">
      <w:pPr>
        <w:spacing w:after="0" w:line="240" w:lineRule="auto"/>
        <w:ind w:firstLine="709"/>
        <w:jc w:val="both"/>
        <w:rPr>
          <w:rFonts w:eastAsia="Times New Roman"/>
          <w:color w:val="000000"/>
          <w:szCs w:val="28"/>
          <w:lang w:val="uk-UA" w:eastAsia="ru-RU"/>
        </w:rPr>
      </w:pPr>
      <w:r w:rsidRPr="00AB6A21">
        <w:rPr>
          <w:rFonts w:eastAsia="Times New Roman"/>
          <w:color w:val="000000"/>
          <w:szCs w:val="28"/>
          <w:lang w:val="uk-UA" w:eastAsia="ru-RU"/>
        </w:rPr>
        <w:lastRenderedPageBreak/>
        <w:t xml:space="preserve">Європейський суд з прав людини у справі </w:t>
      </w:r>
      <w:r w:rsidR="0074492D">
        <w:rPr>
          <w:rFonts w:eastAsia="Times New Roman"/>
          <w:color w:val="000000"/>
          <w:szCs w:val="28"/>
          <w:lang w:val="uk-UA" w:eastAsia="ru-RU"/>
        </w:rPr>
        <w:t>«</w:t>
      </w:r>
      <w:r w:rsidRPr="00AB6A21">
        <w:rPr>
          <w:rFonts w:eastAsia="Times New Roman"/>
          <w:color w:val="000000"/>
          <w:szCs w:val="28"/>
          <w:lang w:val="uk-UA" w:eastAsia="ru-RU"/>
        </w:rPr>
        <w:t>Стіл та інші проти Сполученого Королівства</w:t>
      </w:r>
      <w:r w:rsidR="0074492D">
        <w:rPr>
          <w:rFonts w:eastAsia="Times New Roman"/>
          <w:color w:val="000000"/>
          <w:szCs w:val="28"/>
          <w:lang w:val="uk-UA" w:eastAsia="ru-RU"/>
        </w:rPr>
        <w:t>»</w:t>
      </w:r>
      <w:r w:rsidRPr="00AB6A21">
        <w:rPr>
          <w:rFonts w:eastAsia="Times New Roman"/>
          <w:color w:val="000000"/>
          <w:szCs w:val="28"/>
          <w:lang w:val="uk-UA" w:eastAsia="ru-RU"/>
        </w:rPr>
        <w:t xml:space="preserve"> також зазначив, що </w:t>
      </w:r>
      <w:r w:rsidR="0074492D">
        <w:rPr>
          <w:rFonts w:eastAsia="Times New Roman"/>
          <w:color w:val="000000"/>
          <w:szCs w:val="28"/>
          <w:lang w:val="uk-UA" w:eastAsia="ru-RU"/>
        </w:rPr>
        <w:t>«</w:t>
      </w:r>
      <w:r w:rsidRPr="00AB6A21">
        <w:rPr>
          <w:rFonts w:eastAsia="Times New Roman"/>
          <w:color w:val="000000"/>
          <w:szCs w:val="28"/>
          <w:lang w:val="uk-UA" w:eastAsia="ru-RU"/>
        </w:rPr>
        <w:t>Конвенція вимагає, щоб усе право, чи то писане, чи неписане, було достатньо чітким, щоб дозволити громадянинові, якщо виникне потреба з належною порадою, передбачати певною мірою за певних обставин наслідки, які може спричинити певна дія</w:t>
      </w:r>
      <w:r w:rsidR="0074492D">
        <w:rPr>
          <w:rFonts w:eastAsia="Times New Roman"/>
          <w:color w:val="000000"/>
          <w:szCs w:val="28"/>
          <w:lang w:val="uk-UA" w:eastAsia="ru-RU"/>
        </w:rPr>
        <w:t>»</w:t>
      </w:r>
      <w:r w:rsidRPr="00AB6A21">
        <w:rPr>
          <w:rFonts w:eastAsia="Times New Roman"/>
          <w:color w:val="000000"/>
          <w:szCs w:val="28"/>
          <w:lang w:val="uk-UA" w:eastAsia="ru-RU"/>
        </w:rPr>
        <w:t xml:space="preserve"> (пункт 54)</w:t>
      </w:r>
      <w:r w:rsidR="00716F9F">
        <w:rPr>
          <w:rStyle w:val="a6"/>
          <w:rFonts w:eastAsia="Times New Roman"/>
          <w:color w:val="000000"/>
          <w:szCs w:val="28"/>
          <w:lang w:val="uk-UA" w:eastAsia="ru-RU"/>
        </w:rPr>
        <w:footnoteReference w:id="1"/>
      </w:r>
      <w:r w:rsidRPr="00AB6A21">
        <w:rPr>
          <w:rFonts w:eastAsia="Times New Roman"/>
          <w:color w:val="000000"/>
          <w:szCs w:val="28"/>
          <w:lang w:val="uk-UA" w:eastAsia="ru-RU"/>
        </w:rPr>
        <w:t xml:space="preserve"> .</w:t>
      </w:r>
    </w:p>
    <w:p w:rsidR="009E1144" w:rsidRDefault="00BC6A6B" w:rsidP="009E1144">
      <w:pPr>
        <w:spacing w:after="0" w:line="240" w:lineRule="auto"/>
        <w:ind w:firstLine="709"/>
        <w:jc w:val="both"/>
        <w:rPr>
          <w:rFonts w:eastAsia="Times New Roman"/>
          <w:color w:val="000000"/>
          <w:szCs w:val="28"/>
          <w:lang w:val="uk-UA" w:eastAsia="ru-RU"/>
        </w:rPr>
      </w:pPr>
      <w:r>
        <w:rPr>
          <w:rFonts w:eastAsia="Times New Roman"/>
          <w:color w:val="000000"/>
          <w:szCs w:val="28"/>
          <w:lang w:val="uk-UA" w:eastAsia="ru-RU"/>
        </w:rPr>
        <w:t>2</w:t>
      </w:r>
      <w:r w:rsidR="0074492D">
        <w:rPr>
          <w:rFonts w:eastAsia="Times New Roman"/>
          <w:color w:val="000000"/>
          <w:szCs w:val="28"/>
          <w:lang w:val="uk-UA" w:eastAsia="ru-RU"/>
        </w:rPr>
        <w:t xml:space="preserve">. </w:t>
      </w:r>
      <w:r>
        <w:rPr>
          <w:rFonts w:eastAsia="Times New Roman"/>
          <w:color w:val="000000"/>
          <w:szCs w:val="28"/>
          <w:lang w:val="uk-UA" w:eastAsia="ru-RU"/>
        </w:rPr>
        <w:t>З</w:t>
      </w:r>
      <w:r w:rsidR="009E1144" w:rsidRPr="009E1144">
        <w:rPr>
          <w:rFonts w:eastAsia="Times New Roman"/>
          <w:color w:val="000000"/>
          <w:szCs w:val="28"/>
          <w:lang w:val="uk-UA" w:eastAsia="ru-RU"/>
        </w:rPr>
        <w:t xml:space="preserve">вертаємо також увагу, що у законопроекті не передбачено відповідних змін до статті 216 Кримінального процесуального кодексу України щодо визначення підслідності злочинів, передбачених пропонованою проектом статтею 258-6 КК (наразі досудове слідство стосовно усіх злочинів </w:t>
      </w:r>
      <w:r w:rsidR="0074492D">
        <w:rPr>
          <w:rFonts w:eastAsia="Times New Roman"/>
          <w:color w:val="000000"/>
          <w:szCs w:val="28"/>
          <w:lang w:val="uk-UA" w:eastAsia="ru-RU"/>
        </w:rPr>
        <w:t>«</w:t>
      </w:r>
      <w:r w:rsidR="009E1144" w:rsidRPr="009E1144">
        <w:rPr>
          <w:rFonts w:eastAsia="Times New Roman"/>
          <w:color w:val="000000"/>
          <w:szCs w:val="28"/>
          <w:lang w:val="uk-UA" w:eastAsia="ru-RU"/>
        </w:rPr>
        <w:t>терористичного спрямування</w:t>
      </w:r>
      <w:r w:rsidR="0074492D">
        <w:rPr>
          <w:rFonts w:eastAsia="Times New Roman"/>
          <w:color w:val="000000"/>
          <w:szCs w:val="28"/>
          <w:lang w:val="uk-UA" w:eastAsia="ru-RU"/>
        </w:rPr>
        <w:t>»</w:t>
      </w:r>
      <w:r w:rsidR="009E1144" w:rsidRPr="009E1144">
        <w:rPr>
          <w:rFonts w:eastAsia="Times New Roman"/>
          <w:color w:val="000000"/>
          <w:szCs w:val="28"/>
          <w:lang w:val="uk-UA" w:eastAsia="ru-RU"/>
        </w:rPr>
        <w:t xml:space="preserve"> провадиться слідчими органів безпеки – частина друга</w:t>
      </w:r>
      <w:r w:rsidR="005F04E5">
        <w:rPr>
          <w:rFonts w:eastAsia="Times New Roman"/>
          <w:color w:val="000000"/>
          <w:szCs w:val="28"/>
          <w:lang w:val="uk-UA" w:eastAsia="ru-RU"/>
        </w:rPr>
        <w:t xml:space="preserve"> </w:t>
      </w:r>
      <w:r w:rsidR="009E1144" w:rsidRPr="009E1144">
        <w:rPr>
          <w:rFonts w:eastAsia="Times New Roman"/>
          <w:color w:val="000000"/>
          <w:szCs w:val="28"/>
          <w:lang w:val="uk-UA" w:eastAsia="ru-RU"/>
        </w:rPr>
        <w:t>статті 216 Кримінального процесуального кодексу України).</w:t>
      </w:r>
    </w:p>
    <w:p w:rsidR="00CB5A15" w:rsidRDefault="00BC6A6B" w:rsidP="00623F5A">
      <w:pPr>
        <w:spacing w:after="0" w:line="240" w:lineRule="auto"/>
        <w:ind w:firstLine="709"/>
        <w:jc w:val="both"/>
        <w:rPr>
          <w:rFonts w:eastAsia="Times New Roman"/>
          <w:color w:val="000000"/>
          <w:szCs w:val="28"/>
          <w:lang w:val="uk-UA" w:eastAsia="ru-RU"/>
        </w:rPr>
      </w:pPr>
      <w:r>
        <w:rPr>
          <w:rFonts w:eastAsia="Times New Roman"/>
          <w:color w:val="000000"/>
          <w:szCs w:val="28"/>
          <w:lang w:val="uk-UA" w:eastAsia="ru-RU"/>
        </w:rPr>
        <w:t>3</w:t>
      </w:r>
      <w:r w:rsidR="00623F5A">
        <w:rPr>
          <w:rFonts w:eastAsia="Times New Roman"/>
          <w:color w:val="000000"/>
          <w:szCs w:val="28"/>
          <w:lang w:val="uk-UA" w:eastAsia="ru-RU"/>
        </w:rPr>
        <w:t>. З</w:t>
      </w:r>
      <w:r w:rsidR="00623F5A" w:rsidRPr="00623F5A">
        <w:rPr>
          <w:rFonts w:eastAsia="Times New Roman"/>
          <w:color w:val="000000"/>
          <w:szCs w:val="28"/>
          <w:lang w:val="uk-UA" w:eastAsia="ru-RU"/>
        </w:rPr>
        <w:t xml:space="preserve">апропонована </w:t>
      </w:r>
      <w:r>
        <w:rPr>
          <w:rFonts w:eastAsia="Times New Roman"/>
          <w:color w:val="000000"/>
          <w:szCs w:val="28"/>
          <w:lang w:val="uk-UA" w:eastAsia="ru-RU"/>
        </w:rPr>
        <w:t xml:space="preserve">у </w:t>
      </w:r>
      <w:r w:rsidR="00623F5A" w:rsidRPr="00623F5A">
        <w:rPr>
          <w:rFonts w:eastAsia="Times New Roman"/>
          <w:color w:val="000000"/>
          <w:szCs w:val="28"/>
          <w:lang w:val="uk-UA" w:eastAsia="ru-RU"/>
        </w:rPr>
        <w:t>проект</w:t>
      </w:r>
      <w:r>
        <w:rPr>
          <w:rFonts w:eastAsia="Times New Roman"/>
          <w:color w:val="000000"/>
          <w:szCs w:val="28"/>
          <w:lang w:val="uk-UA" w:eastAsia="ru-RU"/>
        </w:rPr>
        <w:t>і</w:t>
      </w:r>
      <w:r w:rsidR="00623F5A" w:rsidRPr="00623F5A">
        <w:rPr>
          <w:rFonts w:eastAsia="Times New Roman"/>
          <w:color w:val="000000"/>
          <w:szCs w:val="28"/>
          <w:lang w:val="uk-UA" w:eastAsia="ru-RU"/>
        </w:rPr>
        <w:t xml:space="preserve"> статт</w:t>
      </w:r>
      <w:r w:rsidR="00623F5A">
        <w:rPr>
          <w:rFonts w:eastAsia="Times New Roman"/>
          <w:color w:val="000000"/>
          <w:szCs w:val="28"/>
          <w:lang w:val="uk-UA" w:eastAsia="ru-RU"/>
        </w:rPr>
        <w:t>я</w:t>
      </w:r>
      <w:r w:rsidR="00623F5A" w:rsidRPr="00623F5A">
        <w:rPr>
          <w:rFonts w:eastAsia="Times New Roman"/>
          <w:color w:val="000000"/>
          <w:szCs w:val="28"/>
          <w:lang w:val="uk-UA" w:eastAsia="ru-RU"/>
        </w:rPr>
        <w:t xml:space="preserve"> 258-6 КК за своїм змістом</w:t>
      </w:r>
      <w:r w:rsidR="005F04E5">
        <w:rPr>
          <w:rFonts w:eastAsia="Times New Roman"/>
          <w:color w:val="000000"/>
          <w:szCs w:val="28"/>
          <w:lang w:val="uk-UA" w:eastAsia="ru-RU"/>
        </w:rPr>
        <w:t xml:space="preserve"> </w:t>
      </w:r>
      <w:r w:rsidR="00623F5A" w:rsidRPr="00623F5A">
        <w:rPr>
          <w:rFonts w:eastAsia="Times New Roman"/>
          <w:color w:val="000000"/>
          <w:szCs w:val="28"/>
          <w:lang w:val="uk-UA" w:eastAsia="ru-RU"/>
        </w:rPr>
        <w:t xml:space="preserve">частково дублює статтю 258-2, </w:t>
      </w:r>
      <w:r w:rsidR="00623F5A">
        <w:rPr>
          <w:rFonts w:eastAsia="Times New Roman"/>
          <w:color w:val="000000"/>
          <w:szCs w:val="28"/>
          <w:lang w:val="uk-UA" w:eastAsia="ru-RU"/>
        </w:rPr>
        <w:t>де</w:t>
      </w:r>
      <w:r w:rsidR="00623F5A" w:rsidRPr="00623F5A">
        <w:rPr>
          <w:rFonts w:eastAsia="Times New Roman"/>
          <w:color w:val="000000"/>
          <w:szCs w:val="28"/>
          <w:lang w:val="uk-UA" w:eastAsia="ru-RU"/>
        </w:rPr>
        <w:t xml:space="preserve"> встановлено кримінальну відповідальність за </w:t>
      </w:r>
      <w:r w:rsidR="00623F5A" w:rsidRPr="00623F5A">
        <w:rPr>
          <w:rFonts w:eastAsia="Times New Roman"/>
          <w:i/>
          <w:color w:val="000000"/>
          <w:szCs w:val="28"/>
          <w:lang w:val="uk-UA" w:eastAsia="ru-RU"/>
        </w:rPr>
        <w:t>публічні заклики</w:t>
      </w:r>
      <w:r w:rsidR="00623F5A" w:rsidRPr="00623F5A">
        <w:rPr>
          <w:rFonts w:eastAsia="Times New Roman"/>
          <w:color w:val="000000"/>
          <w:szCs w:val="28"/>
          <w:lang w:val="uk-UA" w:eastAsia="ru-RU"/>
        </w:rPr>
        <w:t xml:space="preserve"> до вчинення терористичного акту, а також </w:t>
      </w:r>
      <w:r w:rsidR="00623F5A" w:rsidRPr="00623F5A">
        <w:rPr>
          <w:rFonts w:eastAsia="Times New Roman"/>
          <w:i/>
          <w:color w:val="000000"/>
          <w:szCs w:val="28"/>
          <w:lang w:val="uk-UA" w:eastAsia="ru-RU"/>
        </w:rPr>
        <w:t>розповсюдження, виготовлення чи зберігання з метою розповсюдження</w:t>
      </w:r>
      <w:r w:rsidR="00623F5A">
        <w:rPr>
          <w:rFonts w:eastAsia="Times New Roman"/>
          <w:color w:val="000000"/>
          <w:szCs w:val="28"/>
          <w:lang w:val="uk-UA" w:eastAsia="ru-RU"/>
        </w:rPr>
        <w:t xml:space="preserve"> матеріалів з такими закликами, що на наш погляд, також </w:t>
      </w:r>
      <w:r>
        <w:rPr>
          <w:rFonts w:eastAsia="Times New Roman"/>
          <w:color w:val="000000"/>
          <w:szCs w:val="28"/>
          <w:lang w:val="uk-UA" w:eastAsia="ru-RU"/>
        </w:rPr>
        <w:t xml:space="preserve">є різновидом </w:t>
      </w:r>
      <w:r w:rsidR="00623F5A">
        <w:rPr>
          <w:rFonts w:eastAsia="Times New Roman"/>
          <w:color w:val="000000"/>
          <w:szCs w:val="28"/>
          <w:lang w:val="uk-UA" w:eastAsia="ru-RU"/>
        </w:rPr>
        <w:t xml:space="preserve">пропаганди. </w:t>
      </w:r>
    </w:p>
    <w:p w:rsidR="00623F5A" w:rsidRPr="00623F5A" w:rsidRDefault="00623F5A" w:rsidP="00623F5A">
      <w:pPr>
        <w:spacing w:after="0" w:line="240" w:lineRule="auto"/>
        <w:ind w:firstLine="709"/>
        <w:jc w:val="both"/>
        <w:rPr>
          <w:rFonts w:eastAsia="Times New Roman"/>
          <w:color w:val="000000"/>
          <w:szCs w:val="28"/>
          <w:lang w:val="uk-UA" w:eastAsia="ru-RU"/>
        </w:rPr>
      </w:pPr>
      <w:r>
        <w:rPr>
          <w:rFonts w:eastAsia="Times New Roman"/>
          <w:color w:val="000000"/>
          <w:szCs w:val="28"/>
          <w:lang w:val="uk-UA" w:eastAsia="ru-RU"/>
        </w:rPr>
        <w:t xml:space="preserve">Таким чином, </w:t>
      </w:r>
      <w:r w:rsidRPr="00623F5A">
        <w:rPr>
          <w:rFonts w:eastAsia="Times New Roman"/>
          <w:color w:val="000000"/>
          <w:szCs w:val="28"/>
          <w:lang w:val="uk-UA" w:eastAsia="ru-RU"/>
        </w:rPr>
        <w:t xml:space="preserve">запропонована проектом статті 258-6 КК </w:t>
      </w:r>
      <w:r>
        <w:rPr>
          <w:rFonts w:eastAsia="Times New Roman"/>
          <w:color w:val="000000"/>
          <w:szCs w:val="28"/>
          <w:lang w:val="uk-UA" w:eastAsia="ru-RU"/>
        </w:rPr>
        <w:t xml:space="preserve">України </w:t>
      </w:r>
      <w:r w:rsidR="00CB5A15" w:rsidRPr="00623F5A">
        <w:rPr>
          <w:rFonts w:eastAsia="Times New Roman"/>
          <w:color w:val="000000"/>
          <w:szCs w:val="28"/>
          <w:lang w:val="uk-UA" w:eastAsia="ru-RU"/>
        </w:rPr>
        <w:t>буде створювати небажану конкуренцію кримінально-правових норм</w:t>
      </w:r>
      <w:r w:rsidR="00CB5A15">
        <w:rPr>
          <w:rFonts w:eastAsia="Times New Roman"/>
          <w:color w:val="000000"/>
          <w:szCs w:val="28"/>
          <w:lang w:val="uk-UA" w:eastAsia="ru-RU"/>
        </w:rPr>
        <w:t xml:space="preserve"> із стат</w:t>
      </w:r>
      <w:r w:rsidR="00BC6A6B">
        <w:rPr>
          <w:rFonts w:eastAsia="Times New Roman"/>
          <w:color w:val="000000"/>
          <w:szCs w:val="28"/>
          <w:lang w:val="uk-UA" w:eastAsia="ru-RU"/>
        </w:rPr>
        <w:t>т</w:t>
      </w:r>
      <w:r w:rsidR="00CB5A15">
        <w:rPr>
          <w:rFonts w:eastAsia="Times New Roman"/>
          <w:color w:val="000000"/>
          <w:szCs w:val="28"/>
          <w:lang w:val="uk-UA" w:eastAsia="ru-RU"/>
        </w:rPr>
        <w:t xml:space="preserve">ею </w:t>
      </w:r>
      <w:r w:rsidRPr="00623F5A">
        <w:rPr>
          <w:rFonts w:eastAsia="Times New Roman"/>
          <w:color w:val="000000"/>
          <w:szCs w:val="28"/>
          <w:lang w:val="uk-UA" w:eastAsia="ru-RU"/>
        </w:rPr>
        <w:t>258-2</w:t>
      </w:r>
      <w:r>
        <w:rPr>
          <w:rFonts w:eastAsia="Times New Roman"/>
          <w:color w:val="000000"/>
          <w:szCs w:val="28"/>
          <w:lang w:val="uk-UA" w:eastAsia="ru-RU"/>
        </w:rPr>
        <w:t xml:space="preserve"> КК України</w:t>
      </w:r>
      <w:r w:rsidR="00CB5A15">
        <w:rPr>
          <w:rFonts w:eastAsia="Times New Roman"/>
          <w:color w:val="000000"/>
          <w:szCs w:val="28"/>
          <w:lang w:val="uk-UA" w:eastAsia="ru-RU"/>
        </w:rPr>
        <w:t>.</w:t>
      </w:r>
      <w:r w:rsidRPr="00623F5A">
        <w:rPr>
          <w:rFonts w:eastAsia="Times New Roman"/>
          <w:color w:val="000000"/>
          <w:szCs w:val="28"/>
          <w:lang w:val="uk-UA" w:eastAsia="ru-RU"/>
        </w:rPr>
        <w:t xml:space="preserve"> </w:t>
      </w:r>
    </w:p>
    <w:p w:rsidR="00CB5A15" w:rsidRDefault="00BC6A6B" w:rsidP="009E1144">
      <w:pPr>
        <w:spacing w:after="0" w:line="240" w:lineRule="auto"/>
        <w:ind w:firstLine="709"/>
        <w:jc w:val="both"/>
        <w:rPr>
          <w:rFonts w:eastAsia="Times New Roman"/>
          <w:color w:val="000000"/>
          <w:szCs w:val="28"/>
          <w:lang w:val="uk-UA" w:eastAsia="ru-RU"/>
        </w:rPr>
      </w:pPr>
      <w:r>
        <w:rPr>
          <w:rFonts w:eastAsia="Times New Roman"/>
          <w:color w:val="000000"/>
          <w:szCs w:val="28"/>
          <w:lang w:val="uk-UA" w:eastAsia="ru-RU"/>
        </w:rPr>
        <w:t>4. На думку Головного управління, чинне кримінальне законодавство України достатньою мірою регулює питання про кримінальну відповідальність за злочини терористичної спрямованості і передбачає за них цілком адекватні покарання. Спроби подальшого збільшення кількості кримінально-правових приписів з цих питань можуть спричинити невиправдане віднесення до злочинів терористичної спрямованості діянь, які насправді не мають нічного спільного з тероризмом або й взагалі не є злочинними.</w:t>
      </w:r>
    </w:p>
    <w:p w:rsidR="00BC6A6B" w:rsidRDefault="00BC6A6B" w:rsidP="0074492D">
      <w:pPr>
        <w:spacing w:after="0" w:line="240" w:lineRule="auto"/>
        <w:ind w:firstLine="720"/>
        <w:jc w:val="both"/>
        <w:outlineLvl w:val="2"/>
        <w:rPr>
          <w:rFonts w:eastAsia="Times New Roman"/>
          <w:b/>
          <w:bCs/>
          <w:szCs w:val="28"/>
          <w:lang w:val="uk-UA" w:eastAsia="ru-RU"/>
        </w:rPr>
      </w:pPr>
    </w:p>
    <w:p w:rsidR="0074492D" w:rsidRDefault="00E92780" w:rsidP="0074492D">
      <w:pPr>
        <w:spacing w:after="0" w:line="240" w:lineRule="auto"/>
        <w:ind w:firstLine="720"/>
        <w:jc w:val="both"/>
        <w:outlineLvl w:val="2"/>
        <w:rPr>
          <w:rFonts w:eastAsia="Times New Roman"/>
          <w:b/>
          <w:bCs/>
          <w:szCs w:val="28"/>
          <w:lang w:val="uk-UA" w:eastAsia="ru-RU"/>
        </w:rPr>
      </w:pPr>
      <w:r w:rsidRPr="00E92780">
        <w:rPr>
          <w:rFonts w:eastAsia="Times New Roman"/>
          <w:b/>
          <w:bCs/>
          <w:szCs w:val="28"/>
          <w:lang w:val="uk-UA" w:eastAsia="ru-RU"/>
        </w:rPr>
        <w:t>Узагальнюючий висновок: за результатами розгляду у першом</w:t>
      </w:r>
      <w:r w:rsidR="0074492D">
        <w:rPr>
          <w:rFonts w:eastAsia="Times New Roman"/>
          <w:b/>
          <w:bCs/>
          <w:szCs w:val="28"/>
          <w:lang w:val="uk-UA" w:eastAsia="ru-RU"/>
        </w:rPr>
        <w:t xml:space="preserve">у читанні законопроект </w:t>
      </w:r>
      <w:r w:rsidR="00BC6A6B">
        <w:rPr>
          <w:rFonts w:eastAsia="Times New Roman"/>
          <w:b/>
          <w:bCs/>
          <w:szCs w:val="28"/>
          <w:lang w:val="uk-UA" w:eastAsia="ru-RU"/>
        </w:rPr>
        <w:t>доцільно</w:t>
      </w:r>
      <w:r w:rsidR="0074492D">
        <w:rPr>
          <w:rFonts w:eastAsia="Times New Roman"/>
          <w:b/>
          <w:bCs/>
          <w:szCs w:val="28"/>
          <w:lang w:val="uk-UA" w:eastAsia="ru-RU"/>
        </w:rPr>
        <w:t xml:space="preserve"> відхилити.</w:t>
      </w:r>
    </w:p>
    <w:p w:rsidR="00E92780" w:rsidRPr="00E92780" w:rsidRDefault="00E92780" w:rsidP="00E92780">
      <w:pPr>
        <w:spacing w:after="0" w:line="240" w:lineRule="auto"/>
        <w:ind w:firstLine="708"/>
        <w:jc w:val="both"/>
        <w:outlineLvl w:val="2"/>
        <w:rPr>
          <w:rFonts w:eastAsia="Times New Roman"/>
          <w:b/>
          <w:bCs/>
          <w:szCs w:val="28"/>
          <w:lang w:val="uk-UA" w:eastAsia="ru-RU"/>
        </w:rPr>
      </w:pPr>
    </w:p>
    <w:p w:rsidR="00E92780" w:rsidRPr="00E92780" w:rsidRDefault="00E92780" w:rsidP="00E92780">
      <w:pPr>
        <w:spacing w:after="0" w:line="240" w:lineRule="auto"/>
        <w:ind w:firstLine="708"/>
        <w:jc w:val="both"/>
        <w:outlineLvl w:val="2"/>
        <w:rPr>
          <w:rFonts w:eastAsia="Times New Roman"/>
          <w:bCs/>
          <w:sz w:val="22"/>
          <w:lang w:val="uk-UA" w:eastAsia="ru-RU"/>
        </w:rPr>
      </w:pPr>
      <w:r w:rsidRPr="00E92780">
        <w:rPr>
          <w:rFonts w:eastAsia="Times New Roman"/>
          <w:b/>
          <w:bCs/>
          <w:szCs w:val="28"/>
          <w:lang w:val="uk-UA" w:eastAsia="ru-RU"/>
        </w:rPr>
        <w:t>Керівник Головного управління</w:t>
      </w:r>
      <w:r w:rsidRPr="00E92780">
        <w:rPr>
          <w:rFonts w:eastAsia="Times New Roman"/>
          <w:b/>
          <w:bCs/>
          <w:szCs w:val="28"/>
          <w:lang w:val="uk-UA" w:eastAsia="ru-RU"/>
        </w:rPr>
        <w:tab/>
      </w:r>
      <w:r w:rsidR="005F04E5">
        <w:rPr>
          <w:rFonts w:eastAsia="Times New Roman"/>
          <w:b/>
          <w:bCs/>
          <w:szCs w:val="28"/>
          <w:lang w:val="uk-UA" w:eastAsia="ru-RU"/>
        </w:rPr>
        <w:tab/>
      </w:r>
      <w:r w:rsidR="005F04E5">
        <w:rPr>
          <w:rFonts w:eastAsia="Times New Roman"/>
          <w:b/>
          <w:bCs/>
          <w:szCs w:val="28"/>
          <w:lang w:val="uk-UA" w:eastAsia="ru-RU"/>
        </w:rPr>
        <w:tab/>
      </w:r>
      <w:r w:rsidR="005F04E5">
        <w:rPr>
          <w:rFonts w:eastAsia="Times New Roman"/>
          <w:b/>
          <w:bCs/>
          <w:szCs w:val="28"/>
          <w:lang w:val="uk-UA" w:eastAsia="ru-RU"/>
        </w:rPr>
        <w:tab/>
        <w:t xml:space="preserve"> </w:t>
      </w:r>
      <w:r w:rsidRPr="00E92780">
        <w:rPr>
          <w:rFonts w:eastAsia="Times New Roman"/>
          <w:b/>
          <w:bCs/>
          <w:szCs w:val="28"/>
          <w:lang w:val="uk-UA" w:eastAsia="ru-RU"/>
        </w:rPr>
        <w:t xml:space="preserve"> </w:t>
      </w:r>
      <w:r w:rsidR="00BC6A6B">
        <w:rPr>
          <w:rFonts w:eastAsia="Times New Roman"/>
          <w:b/>
          <w:bCs/>
          <w:szCs w:val="28"/>
          <w:lang w:val="uk-UA" w:eastAsia="ru-RU"/>
        </w:rPr>
        <w:t xml:space="preserve">        </w:t>
      </w:r>
      <w:r w:rsidRPr="00E92780">
        <w:rPr>
          <w:rFonts w:eastAsia="Times New Roman"/>
          <w:b/>
          <w:bCs/>
          <w:szCs w:val="28"/>
          <w:lang w:val="uk-UA" w:eastAsia="ru-RU"/>
        </w:rPr>
        <w:t>В.І.</w:t>
      </w:r>
      <w:r w:rsidR="00BC6A6B">
        <w:rPr>
          <w:rFonts w:eastAsia="Times New Roman"/>
          <w:b/>
          <w:bCs/>
          <w:szCs w:val="28"/>
          <w:lang w:val="uk-UA" w:eastAsia="ru-RU"/>
        </w:rPr>
        <w:t xml:space="preserve"> </w:t>
      </w:r>
      <w:r w:rsidRPr="00E92780">
        <w:rPr>
          <w:rFonts w:eastAsia="Times New Roman"/>
          <w:b/>
          <w:bCs/>
          <w:szCs w:val="28"/>
          <w:lang w:val="uk-UA" w:eastAsia="ru-RU"/>
        </w:rPr>
        <w:t>Борденюк</w:t>
      </w:r>
      <w:r w:rsidRPr="00E92780">
        <w:rPr>
          <w:rFonts w:eastAsia="Times New Roman"/>
          <w:b/>
          <w:bCs/>
          <w:szCs w:val="28"/>
          <w:lang w:val="uk-UA" w:eastAsia="ru-RU"/>
        </w:rPr>
        <w:tab/>
      </w:r>
    </w:p>
    <w:p w:rsidR="00E92780" w:rsidRPr="00E92780" w:rsidRDefault="00E92780" w:rsidP="00E92780">
      <w:pPr>
        <w:spacing w:after="0" w:line="240" w:lineRule="auto"/>
        <w:ind w:firstLine="708"/>
        <w:outlineLvl w:val="2"/>
        <w:rPr>
          <w:rFonts w:eastAsia="Times New Roman"/>
          <w:bCs/>
          <w:sz w:val="24"/>
          <w:szCs w:val="24"/>
          <w:lang w:val="uk-UA" w:eastAsia="ru-RU"/>
        </w:rPr>
      </w:pPr>
    </w:p>
    <w:p w:rsidR="005204CF" w:rsidRDefault="00E92780" w:rsidP="00E13777">
      <w:pPr>
        <w:spacing w:after="0" w:line="240" w:lineRule="auto"/>
        <w:ind w:firstLine="708"/>
        <w:outlineLvl w:val="2"/>
      </w:pPr>
      <w:r w:rsidRPr="00E92780">
        <w:rPr>
          <w:rFonts w:eastAsia="Times New Roman"/>
          <w:bCs/>
          <w:sz w:val="24"/>
          <w:szCs w:val="24"/>
          <w:lang w:eastAsia="ru-RU"/>
        </w:rPr>
        <w:t xml:space="preserve">Вик.: </w:t>
      </w:r>
      <w:r w:rsidR="0074492D" w:rsidRPr="00E92780">
        <w:rPr>
          <w:rFonts w:eastAsia="Times New Roman"/>
          <w:bCs/>
          <w:sz w:val="24"/>
          <w:szCs w:val="24"/>
          <w:lang w:eastAsia="ru-RU"/>
        </w:rPr>
        <w:t>О.П.</w:t>
      </w:r>
      <w:r w:rsidR="0074492D">
        <w:rPr>
          <w:rFonts w:eastAsia="Times New Roman"/>
          <w:bCs/>
          <w:sz w:val="24"/>
          <w:szCs w:val="24"/>
          <w:lang w:val="uk-UA" w:eastAsia="ru-RU"/>
        </w:rPr>
        <w:t xml:space="preserve"> </w:t>
      </w:r>
      <w:r w:rsidRPr="00E92780">
        <w:rPr>
          <w:rFonts w:eastAsia="Times New Roman"/>
          <w:bCs/>
          <w:sz w:val="24"/>
          <w:szCs w:val="24"/>
          <w:lang w:eastAsia="ru-RU"/>
        </w:rPr>
        <w:t xml:space="preserve">Петриченко </w:t>
      </w:r>
    </w:p>
    <w:sectPr w:rsidR="005204CF" w:rsidSect="00E13777">
      <w:headerReference w:type="even" r:id="rId7"/>
      <w:headerReference w:type="default" r:id="rId8"/>
      <w:headerReference w:type="first" r:id="rId9"/>
      <w:pgSz w:w="11906" w:h="16838"/>
      <w:pgMar w:top="1134" w:right="1134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0B43" w:rsidRDefault="00AB0B43" w:rsidP="00E92780">
      <w:pPr>
        <w:spacing w:after="0" w:line="240" w:lineRule="auto"/>
      </w:pPr>
      <w:r>
        <w:separator/>
      </w:r>
    </w:p>
  </w:endnote>
  <w:endnote w:type="continuationSeparator" w:id="0">
    <w:p w:rsidR="00AB0B43" w:rsidRDefault="00AB0B43" w:rsidP="00E927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0B43" w:rsidRDefault="00AB0B43" w:rsidP="00E92780">
      <w:pPr>
        <w:spacing w:after="0" w:line="240" w:lineRule="auto"/>
      </w:pPr>
      <w:r>
        <w:separator/>
      </w:r>
    </w:p>
  </w:footnote>
  <w:footnote w:type="continuationSeparator" w:id="0">
    <w:p w:rsidR="00AB0B43" w:rsidRDefault="00AB0B43" w:rsidP="00E92780">
      <w:pPr>
        <w:spacing w:after="0" w:line="240" w:lineRule="auto"/>
      </w:pPr>
      <w:r>
        <w:continuationSeparator/>
      </w:r>
    </w:p>
  </w:footnote>
  <w:footnote w:id="1">
    <w:p w:rsidR="00716F9F" w:rsidRPr="00716F9F" w:rsidRDefault="00716F9F">
      <w:pPr>
        <w:pStyle w:val="a9"/>
      </w:pPr>
      <w:r>
        <w:rPr>
          <w:rStyle w:val="a6"/>
        </w:rPr>
        <w:footnoteRef/>
      </w:r>
      <w:r w:rsidRPr="00716F9F">
        <w:rPr>
          <w:lang w:val="en-US"/>
        </w:rPr>
        <w:t xml:space="preserve"> </w:t>
      </w:r>
      <w:r w:rsidRPr="00716F9F">
        <w:t>Справа</w:t>
      </w:r>
      <w:r w:rsidRPr="00716F9F">
        <w:rPr>
          <w:lang w:val="en-US"/>
        </w:rPr>
        <w:t xml:space="preserve"> </w:t>
      </w:r>
      <w:r w:rsidR="0074492D">
        <w:rPr>
          <w:lang w:val="en-US"/>
        </w:rPr>
        <w:t>«</w:t>
      </w:r>
      <w:r w:rsidRPr="00716F9F">
        <w:t>Стіл</w:t>
      </w:r>
      <w:r w:rsidRPr="00716F9F">
        <w:rPr>
          <w:lang w:val="en-US"/>
        </w:rPr>
        <w:t xml:space="preserve"> </w:t>
      </w:r>
      <w:r w:rsidRPr="00716F9F">
        <w:t>та</w:t>
      </w:r>
      <w:r w:rsidRPr="00716F9F">
        <w:rPr>
          <w:lang w:val="en-US"/>
        </w:rPr>
        <w:t xml:space="preserve"> </w:t>
      </w:r>
      <w:r w:rsidRPr="00716F9F">
        <w:t>інші</w:t>
      </w:r>
      <w:r w:rsidRPr="00716F9F">
        <w:rPr>
          <w:lang w:val="en-US"/>
        </w:rPr>
        <w:t xml:space="preserve"> </w:t>
      </w:r>
      <w:r w:rsidRPr="00716F9F">
        <w:t>проти</w:t>
      </w:r>
      <w:r w:rsidRPr="00716F9F">
        <w:rPr>
          <w:lang w:val="en-US"/>
        </w:rPr>
        <w:t xml:space="preserve"> </w:t>
      </w:r>
      <w:r w:rsidRPr="00716F9F">
        <w:t>Сполученого</w:t>
      </w:r>
      <w:r w:rsidRPr="00716F9F">
        <w:rPr>
          <w:lang w:val="en-US"/>
        </w:rPr>
        <w:t xml:space="preserve"> </w:t>
      </w:r>
      <w:r w:rsidRPr="00716F9F">
        <w:t>Королівства</w:t>
      </w:r>
      <w:r w:rsidR="0074492D">
        <w:rPr>
          <w:lang w:val="en-US"/>
        </w:rPr>
        <w:t>»</w:t>
      </w:r>
      <w:r w:rsidRPr="00716F9F">
        <w:rPr>
          <w:lang w:val="en-US"/>
        </w:rPr>
        <w:t xml:space="preserve"> (Case of Steel and others v. the United Kingdom). </w:t>
      </w:r>
      <w:r w:rsidRPr="00716F9F">
        <w:t>Витяг Рішення 23.09.1998 //Рада Європи. Європейський суд з прав людини. [Електронний ресурс]. – режим доступу: http://zakon.rada.gov.ua/laws/show/980_106/card2#Card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038A" w:rsidRDefault="0051038A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1038A" w:rsidRDefault="0051038A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038A" w:rsidRDefault="0051038A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E422C">
      <w:rPr>
        <w:rStyle w:val="a5"/>
        <w:noProof/>
      </w:rPr>
      <w:t>2</w:t>
    </w:r>
    <w:r>
      <w:rPr>
        <w:rStyle w:val="a5"/>
      </w:rPr>
      <w:fldChar w:fldCharType="end"/>
    </w:r>
  </w:p>
  <w:p w:rsidR="0051038A" w:rsidRDefault="0051038A">
    <w:pPr>
      <w:pStyle w:val="a3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038A" w:rsidRDefault="0051038A" w:rsidP="00061401">
    <w:pPr>
      <w:pStyle w:val="a3"/>
      <w:spacing w:after="0"/>
      <w:jc w:val="right"/>
      <w:rPr>
        <w:sz w:val="22"/>
        <w:u w:val="single"/>
      </w:rPr>
    </w:pPr>
    <w:r>
      <w:rPr>
        <w:sz w:val="22"/>
        <w:u w:val="single"/>
      </w:rPr>
      <w:t xml:space="preserve">До № </w:t>
    </w:r>
    <w:r w:rsidR="00061401">
      <w:rPr>
        <w:sz w:val="22"/>
        <w:u w:val="single"/>
        <w:lang w:val="uk-UA"/>
      </w:rPr>
      <w:t>3506</w:t>
    </w:r>
    <w:r>
      <w:rPr>
        <w:sz w:val="22"/>
        <w:u w:val="single"/>
      </w:rPr>
      <w:t xml:space="preserve"> від </w:t>
    </w:r>
    <w:r w:rsidR="00061401">
      <w:rPr>
        <w:sz w:val="22"/>
        <w:u w:val="single"/>
        <w:lang w:val="uk-UA"/>
      </w:rPr>
      <w:t>23</w:t>
    </w:r>
    <w:r>
      <w:rPr>
        <w:sz w:val="22"/>
        <w:u w:val="single"/>
      </w:rPr>
      <w:t>.</w:t>
    </w:r>
    <w:r w:rsidR="00061401">
      <w:rPr>
        <w:sz w:val="22"/>
        <w:u w:val="single"/>
        <w:lang w:val="uk-UA"/>
      </w:rPr>
      <w:t>11</w:t>
    </w:r>
    <w:r>
      <w:rPr>
        <w:sz w:val="22"/>
        <w:u w:val="single"/>
      </w:rPr>
      <w:t>.201</w:t>
    </w:r>
    <w:r w:rsidR="00061401">
      <w:rPr>
        <w:sz w:val="22"/>
        <w:u w:val="single"/>
        <w:lang w:val="uk-UA"/>
      </w:rPr>
      <w:t>5</w:t>
    </w:r>
  </w:p>
  <w:p w:rsidR="0051038A" w:rsidRPr="00061401" w:rsidRDefault="0051038A" w:rsidP="00061401">
    <w:pPr>
      <w:pStyle w:val="a3"/>
      <w:spacing w:after="0"/>
      <w:jc w:val="right"/>
      <w:rPr>
        <w:rFonts w:ascii="Arial" w:hAnsi="Arial" w:cs="Arial"/>
        <w:b/>
        <w:bCs/>
        <w:lang w:val="uk-UA"/>
      </w:rPr>
    </w:pPr>
    <w:r>
      <w:rPr>
        <w:sz w:val="22"/>
      </w:rPr>
      <w:t xml:space="preserve">Н.д. України </w:t>
    </w:r>
    <w:r w:rsidR="00061401">
      <w:rPr>
        <w:sz w:val="22"/>
        <w:lang w:val="uk-UA"/>
      </w:rPr>
      <w:t>Рабінович В.З.</w:t>
    </w:r>
  </w:p>
  <w:p w:rsidR="0051038A" w:rsidRDefault="0051038A" w:rsidP="00061401">
    <w:pPr>
      <w:pStyle w:val="a3"/>
      <w:spacing w:after="0"/>
    </w:pPr>
  </w:p>
  <w:p w:rsidR="0051038A" w:rsidRDefault="0051038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92780"/>
    <w:rsid w:val="00061401"/>
    <w:rsid w:val="000B7BD5"/>
    <w:rsid w:val="000E422C"/>
    <w:rsid w:val="001C23F3"/>
    <w:rsid w:val="0051038A"/>
    <w:rsid w:val="005204CF"/>
    <w:rsid w:val="005F04E5"/>
    <w:rsid w:val="00623F5A"/>
    <w:rsid w:val="00716F9F"/>
    <w:rsid w:val="0074492D"/>
    <w:rsid w:val="007B65D0"/>
    <w:rsid w:val="009477B9"/>
    <w:rsid w:val="009E1144"/>
    <w:rsid w:val="00AB0B43"/>
    <w:rsid w:val="00AB6A21"/>
    <w:rsid w:val="00BC6A6B"/>
    <w:rsid w:val="00CB5A15"/>
    <w:rsid w:val="00E13777"/>
    <w:rsid w:val="00E92780"/>
    <w:rsid w:val="00F23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146696-92E4-43E1-9CFA-CC5C1B5A1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8"/>
      <w:szCs w:val="22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92780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link w:val="a3"/>
    <w:uiPriority w:val="99"/>
    <w:semiHidden/>
    <w:rsid w:val="00E92780"/>
    <w:rPr>
      <w:sz w:val="28"/>
      <w:szCs w:val="22"/>
      <w:lang w:val="ru-RU" w:eastAsia="en-US"/>
    </w:rPr>
  </w:style>
  <w:style w:type="character" w:styleId="a5">
    <w:name w:val="page number"/>
    <w:rsid w:val="00E92780"/>
  </w:style>
  <w:style w:type="character" w:styleId="a6">
    <w:name w:val="footnote reference"/>
    <w:semiHidden/>
    <w:rsid w:val="00E92780"/>
    <w:rPr>
      <w:vertAlign w:val="superscript"/>
    </w:rPr>
  </w:style>
  <w:style w:type="paragraph" w:styleId="a7">
    <w:name w:val="footer"/>
    <w:basedOn w:val="a"/>
    <w:link w:val="a8"/>
    <w:uiPriority w:val="99"/>
    <w:unhideWhenUsed/>
    <w:rsid w:val="00061401"/>
    <w:pPr>
      <w:tabs>
        <w:tab w:val="center" w:pos="4819"/>
        <w:tab w:val="right" w:pos="9639"/>
      </w:tabs>
    </w:pPr>
  </w:style>
  <w:style w:type="character" w:customStyle="1" w:styleId="a8">
    <w:name w:val="Нижній колонтитул Знак"/>
    <w:link w:val="a7"/>
    <w:uiPriority w:val="99"/>
    <w:rsid w:val="00061401"/>
    <w:rPr>
      <w:sz w:val="28"/>
      <w:szCs w:val="22"/>
      <w:lang w:val="ru-RU" w:eastAsia="en-US"/>
    </w:rPr>
  </w:style>
  <w:style w:type="paragraph" w:styleId="a9">
    <w:name w:val="footnote text"/>
    <w:basedOn w:val="a"/>
    <w:link w:val="aa"/>
    <w:uiPriority w:val="99"/>
    <w:semiHidden/>
    <w:unhideWhenUsed/>
    <w:rsid w:val="00F23B8B"/>
    <w:rPr>
      <w:sz w:val="20"/>
      <w:szCs w:val="20"/>
    </w:rPr>
  </w:style>
  <w:style w:type="character" w:customStyle="1" w:styleId="aa">
    <w:name w:val="Текст виноски Знак"/>
    <w:link w:val="a9"/>
    <w:uiPriority w:val="99"/>
    <w:semiHidden/>
    <w:rsid w:val="00F23B8B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C9FA2A-C404-4275-8345-8601720C55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2595</Words>
  <Characters>1480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Петриченко Олег Пилипович</dc:creator>
  <cp:keywords/>
  <dc:description/>
  <cp:lastModifiedBy>Наталія Олександрівна Ромашевська</cp:lastModifiedBy>
  <cp:revision>2</cp:revision>
  <dcterms:created xsi:type="dcterms:W3CDTF">2016-08-01T12:11:00Z</dcterms:created>
  <dcterms:modified xsi:type="dcterms:W3CDTF">2016-08-01T12:11:00Z</dcterms:modified>
</cp:coreProperties>
</file>