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A4D" w:rsidRDefault="00616A4D" w:rsidP="00616A4D">
      <w:pPr>
        <w:jc w:val="center"/>
      </w:pPr>
    </w:p>
    <w:p w:rsidR="00616A4D" w:rsidRDefault="00616A4D" w:rsidP="00616A4D">
      <w:pPr>
        <w:jc w:val="center"/>
      </w:pPr>
    </w:p>
    <w:p w:rsidR="00616A4D" w:rsidRDefault="00616A4D" w:rsidP="00616A4D">
      <w:pPr>
        <w:jc w:val="center"/>
      </w:pPr>
    </w:p>
    <w:p w:rsidR="00616A4D" w:rsidRDefault="00616A4D" w:rsidP="00616A4D">
      <w:pPr>
        <w:jc w:val="center"/>
      </w:pPr>
    </w:p>
    <w:p w:rsidR="00616A4D" w:rsidRDefault="00616A4D" w:rsidP="00616A4D">
      <w:pPr>
        <w:jc w:val="center"/>
      </w:pPr>
    </w:p>
    <w:p w:rsidR="00616A4D" w:rsidRDefault="00616A4D" w:rsidP="00616A4D">
      <w:pPr>
        <w:jc w:val="center"/>
      </w:pPr>
    </w:p>
    <w:p w:rsidR="00616A4D" w:rsidRDefault="00616A4D" w:rsidP="00616A4D">
      <w:pPr>
        <w:jc w:val="center"/>
      </w:pPr>
    </w:p>
    <w:p w:rsidR="00616A4D" w:rsidRDefault="00616A4D" w:rsidP="00616A4D">
      <w:pPr>
        <w:jc w:val="center"/>
        <w:rPr>
          <w:b/>
          <w:lang w:val="uk-UA"/>
        </w:rPr>
      </w:pPr>
      <w:r>
        <w:rPr>
          <w:b/>
          <w:lang w:val="uk-UA"/>
        </w:rPr>
        <w:t>ВИСНОВОК</w:t>
      </w:r>
    </w:p>
    <w:p w:rsidR="00616A4D" w:rsidRDefault="00616A4D" w:rsidP="00616A4D">
      <w:pPr>
        <w:jc w:val="center"/>
      </w:pPr>
      <w:r>
        <w:rPr>
          <w:lang w:val="uk-UA"/>
        </w:rPr>
        <w:t>щодо результатів здійснення а</w:t>
      </w:r>
      <w:r>
        <w:t>нтикорупційної</w:t>
      </w:r>
      <w:r>
        <w:rPr>
          <w:lang w:val="uk-UA"/>
        </w:rPr>
        <w:t xml:space="preserve"> експертизи </w:t>
      </w:r>
    </w:p>
    <w:p w:rsidR="00616A4D" w:rsidRDefault="00616A4D" w:rsidP="00616A4D">
      <w:pPr>
        <w:jc w:val="center"/>
        <w:rPr>
          <w:lang w:val="uk-UA"/>
        </w:rPr>
      </w:pPr>
      <w:r>
        <w:rPr>
          <w:lang w:val="uk-UA"/>
        </w:rPr>
        <w:t>проекту нормативно-правового акта</w:t>
      </w:r>
    </w:p>
    <w:p w:rsidR="00616A4D" w:rsidRDefault="00616A4D" w:rsidP="00616A4D">
      <w:pPr>
        <w:rPr>
          <w:lang w:val="uk-UA"/>
        </w:rPr>
      </w:pPr>
    </w:p>
    <w:p w:rsidR="00616A4D" w:rsidRDefault="00616A4D" w:rsidP="00616A4D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 w:cs="Arial"/>
          <w:sz w:val="22"/>
          <w:szCs w:val="22"/>
          <w:lang w:val="uk-UA"/>
        </w:rPr>
        <w:t xml:space="preserve">Назва проекту акта:  проект Закону про </w:t>
      </w:r>
      <w:r w:rsidR="00C8628D">
        <w:rPr>
          <w:rFonts w:ascii="Arial" w:hAnsi="Arial" w:cs="Arial"/>
          <w:sz w:val="22"/>
          <w:szCs w:val="22"/>
          <w:lang w:val="uk-UA"/>
        </w:rPr>
        <w:t>внесення змін до деяких законодавчих актів України щодо суду присяжних</w:t>
      </w:r>
    </w:p>
    <w:p w:rsidR="00616A4D" w:rsidRDefault="00616A4D" w:rsidP="00616A4D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616A4D" w:rsidRDefault="00616A4D" w:rsidP="00616A4D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 w:cs="Arial"/>
          <w:sz w:val="22"/>
          <w:szCs w:val="22"/>
          <w:lang w:val="uk-UA"/>
        </w:rPr>
        <w:t>Реєстр. №</w:t>
      </w:r>
      <w:r w:rsidR="00C8628D">
        <w:rPr>
          <w:rFonts w:ascii="Arial" w:hAnsi="Arial" w:cs="Arial"/>
          <w:sz w:val="22"/>
          <w:szCs w:val="22"/>
          <w:lang w:val="uk-UA"/>
        </w:rPr>
        <w:t>3608 від 0</w:t>
      </w:r>
      <w:r>
        <w:rPr>
          <w:rFonts w:ascii="Arial" w:hAnsi="Arial" w:cs="Arial"/>
          <w:sz w:val="22"/>
          <w:szCs w:val="22"/>
          <w:lang w:val="uk-UA"/>
        </w:rPr>
        <w:t>9.</w:t>
      </w:r>
      <w:r w:rsidR="00C8628D">
        <w:rPr>
          <w:rFonts w:ascii="Arial" w:hAnsi="Arial" w:cs="Arial"/>
          <w:sz w:val="22"/>
          <w:szCs w:val="22"/>
          <w:lang w:val="uk-UA"/>
        </w:rPr>
        <w:t>1</w:t>
      </w:r>
      <w:r>
        <w:rPr>
          <w:rFonts w:ascii="Arial" w:hAnsi="Arial" w:cs="Arial"/>
          <w:sz w:val="22"/>
          <w:szCs w:val="22"/>
          <w:lang w:val="uk-UA"/>
        </w:rPr>
        <w:t>2.201</w:t>
      </w:r>
      <w:r w:rsidR="00C8628D">
        <w:rPr>
          <w:rFonts w:ascii="Arial" w:hAnsi="Arial" w:cs="Arial"/>
          <w:sz w:val="22"/>
          <w:szCs w:val="22"/>
          <w:lang w:val="uk-UA"/>
        </w:rPr>
        <w:t>5</w:t>
      </w:r>
      <w:r>
        <w:rPr>
          <w:rFonts w:ascii="Arial" w:hAnsi="Arial" w:cs="Arial"/>
          <w:sz w:val="22"/>
          <w:szCs w:val="22"/>
          <w:lang w:val="uk-UA"/>
        </w:rPr>
        <w:t>р.</w:t>
      </w:r>
    </w:p>
    <w:p w:rsidR="00616A4D" w:rsidRDefault="00616A4D" w:rsidP="00616A4D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616A4D" w:rsidRDefault="00616A4D" w:rsidP="00616A4D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 w:cs="Arial"/>
          <w:sz w:val="22"/>
          <w:szCs w:val="22"/>
          <w:lang w:val="uk-UA"/>
        </w:rPr>
        <w:t>Суб’єкт права законодавчої ініціативи: Народні депутати України</w:t>
      </w:r>
      <w:r w:rsidR="00056502">
        <w:rPr>
          <w:rFonts w:ascii="Arial" w:hAnsi="Arial" w:cs="Arial"/>
          <w:sz w:val="22"/>
          <w:szCs w:val="22"/>
          <w:lang w:val="uk-UA"/>
        </w:rPr>
        <w:t xml:space="preserve">                                                           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 w:rsidR="00C8628D">
        <w:rPr>
          <w:rFonts w:ascii="Arial" w:hAnsi="Arial" w:cs="Arial"/>
          <w:sz w:val="22"/>
          <w:szCs w:val="22"/>
          <w:lang w:val="uk-UA"/>
        </w:rPr>
        <w:t xml:space="preserve">Луценко </w:t>
      </w:r>
      <w:proofErr w:type="spellStart"/>
      <w:r w:rsidR="00056502">
        <w:rPr>
          <w:rFonts w:ascii="Arial" w:hAnsi="Arial" w:cs="Arial"/>
          <w:sz w:val="22"/>
          <w:szCs w:val="22"/>
          <w:lang w:val="uk-UA"/>
        </w:rPr>
        <w:t>Ю</w:t>
      </w:r>
      <w:r w:rsidR="00C8628D">
        <w:rPr>
          <w:rFonts w:ascii="Arial" w:hAnsi="Arial" w:cs="Arial"/>
          <w:sz w:val="22"/>
          <w:szCs w:val="22"/>
          <w:lang w:val="uk-UA"/>
        </w:rPr>
        <w:t>.В.,Тимошенко</w:t>
      </w:r>
      <w:proofErr w:type="spellEnd"/>
      <w:r w:rsidR="00C8628D">
        <w:rPr>
          <w:rFonts w:ascii="Arial" w:hAnsi="Arial" w:cs="Arial"/>
          <w:sz w:val="22"/>
          <w:szCs w:val="22"/>
          <w:lang w:val="uk-UA"/>
        </w:rPr>
        <w:t xml:space="preserve"> Ю.В., Луценко І.С.</w:t>
      </w:r>
    </w:p>
    <w:p w:rsidR="00616A4D" w:rsidRDefault="00616A4D" w:rsidP="00616A4D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616A4D" w:rsidRDefault="00616A4D" w:rsidP="00616A4D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 w:cs="Arial"/>
          <w:sz w:val="22"/>
          <w:szCs w:val="22"/>
          <w:lang w:val="uk-UA"/>
        </w:rPr>
        <w:t xml:space="preserve">Головний комітет з підготовки і попереднього розгляду – Комітет з питань </w:t>
      </w:r>
      <w:r w:rsidR="00C8628D">
        <w:rPr>
          <w:rFonts w:ascii="Arial" w:hAnsi="Arial" w:cs="Arial"/>
          <w:sz w:val="22"/>
          <w:szCs w:val="22"/>
          <w:lang w:val="uk-UA"/>
        </w:rPr>
        <w:t>правової політики та правосуддя</w:t>
      </w:r>
    </w:p>
    <w:p w:rsidR="00616A4D" w:rsidRDefault="00616A4D" w:rsidP="00616A4D">
      <w:pPr>
        <w:ind w:left="720"/>
        <w:jc w:val="both"/>
        <w:rPr>
          <w:lang w:val="uk-UA"/>
        </w:rPr>
      </w:pPr>
    </w:p>
    <w:p w:rsidR="00616A4D" w:rsidRDefault="00616A4D" w:rsidP="00616A4D">
      <w:pPr>
        <w:ind w:firstLine="720"/>
        <w:jc w:val="both"/>
        <w:rPr>
          <w:lang w:val="uk-UA"/>
        </w:rPr>
      </w:pPr>
      <w:r>
        <w:rPr>
          <w:u w:val="single"/>
          <w:lang w:val="uk-UA"/>
        </w:rPr>
        <w:t xml:space="preserve">У проекті акта </w:t>
      </w:r>
      <w:r w:rsidR="00B23FBC">
        <w:rPr>
          <w:u w:val="single"/>
          <w:lang w:val="uk-UA"/>
        </w:rPr>
        <w:t xml:space="preserve">не </w:t>
      </w:r>
      <w:r>
        <w:rPr>
          <w:u w:val="single"/>
          <w:lang w:val="uk-UA"/>
        </w:rPr>
        <w:t xml:space="preserve">виявлено корупціогенні фактори – проект акта відповідає вимогам антикорупційного законодавства – </w:t>
      </w:r>
      <w:r>
        <w:rPr>
          <w:lang w:val="uk-UA"/>
        </w:rPr>
        <w:t xml:space="preserve">(рішення Комітету від </w:t>
      </w:r>
      <w:r w:rsidR="00C8628D">
        <w:rPr>
          <w:lang w:val="uk-UA"/>
        </w:rPr>
        <w:t>13 квітня</w:t>
      </w:r>
      <w:r>
        <w:rPr>
          <w:lang w:val="uk-UA"/>
        </w:rPr>
        <w:t xml:space="preserve"> 2016 року, протокол № 6</w:t>
      </w:r>
      <w:r w:rsidR="00C8628D">
        <w:rPr>
          <w:lang w:val="uk-UA"/>
        </w:rPr>
        <w:t>9</w:t>
      </w:r>
      <w:r>
        <w:rPr>
          <w:lang w:val="uk-UA"/>
        </w:rPr>
        <w:t>.)</w:t>
      </w:r>
    </w:p>
    <w:p w:rsidR="00616A4D" w:rsidRDefault="00616A4D" w:rsidP="00616A4D">
      <w:pPr>
        <w:ind w:firstLine="720"/>
        <w:jc w:val="both"/>
        <w:rPr>
          <w:lang w:val="uk-UA"/>
        </w:rPr>
      </w:pPr>
      <w:r>
        <w:rPr>
          <w:lang w:val="uk-UA"/>
        </w:rPr>
        <w:t>Суб’єкт</w:t>
      </w:r>
      <w:r w:rsidR="00056502">
        <w:rPr>
          <w:lang w:val="uk-UA"/>
        </w:rPr>
        <w:t>и</w:t>
      </w:r>
      <w:r>
        <w:rPr>
          <w:lang w:val="uk-UA"/>
        </w:rPr>
        <w:t xml:space="preserve"> права законодавчої ініціативи ма</w:t>
      </w:r>
      <w:r w:rsidR="00056502">
        <w:rPr>
          <w:lang w:val="uk-UA"/>
        </w:rPr>
        <w:t>ють</w:t>
      </w:r>
      <w:r>
        <w:rPr>
          <w:lang w:val="uk-UA"/>
        </w:rPr>
        <w:t xml:space="preserve"> мету </w:t>
      </w:r>
      <w:r w:rsidR="00056502">
        <w:rPr>
          <w:lang w:val="uk-UA"/>
        </w:rPr>
        <w:t>шляхом внесення змін до Закону України «Про судоустрій і статус суддів» та Кримінальний процесуальний кодекс України змінити порядок розгляду в судах кримінальних проваджень за участю присяжних.</w:t>
      </w:r>
    </w:p>
    <w:p w:rsidR="004954B6" w:rsidRDefault="00B23FBC" w:rsidP="00616A4D">
      <w:pPr>
        <w:pStyle w:val="a3"/>
      </w:pPr>
      <w:r>
        <w:t>Разом з тим, з</w:t>
      </w:r>
      <w:r w:rsidR="00616A4D">
        <w:t xml:space="preserve">аконопроект в окремих своїх положеннях </w:t>
      </w:r>
      <w:r w:rsidR="004954B6">
        <w:t>щодо змін до Закону України «Про судоустрій і статус суддів»</w:t>
      </w:r>
      <w:r w:rsidR="00813E14">
        <w:t xml:space="preserve"> не </w:t>
      </w:r>
      <w:r w:rsidR="004954B6">
        <w:t xml:space="preserve">містить </w:t>
      </w:r>
      <w:r w:rsidR="001E29A5">
        <w:t>чіткої визначено</w:t>
      </w:r>
      <w:r w:rsidR="004954B6">
        <w:t>ст</w:t>
      </w:r>
      <w:r w:rsidR="001E29A5">
        <w:t>і</w:t>
      </w:r>
      <w:r w:rsidR="004954B6">
        <w:t xml:space="preserve"> засад формування Державного реєстру присяжних</w:t>
      </w:r>
      <w:r w:rsidR="00813E14">
        <w:t>, що</w:t>
      </w:r>
      <w:r w:rsidR="004954B6">
        <w:t xml:space="preserve"> </w:t>
      </w:r>
      <w:r w:rsidR="004954B6" w:rsidRPr="00B23FBC">
        <w:t>створює ризик службових зловживань при визначені осіб, які можуть бути пр</w:t>
      </w:r>
      <w:r w:rsidR="004954B6">
        <w:t>исяжними.</w:t>
      </w:r>
      <w:r w:rsidR="001E29A5">
        <w:t xml:space="preserve"> </w:t>
      </w:r>
      <w:r w:rsidR="00813E14">
        <w:t>Так, н</w:t>
      </w:r>
      <w:r w:rsidR="001E29A5">
        <w:t>ормами проекту не визначено процедуру щодо порядку  формування Державного реєстру присяжних, зокрема: дані про осіб, які можуть бути присяжними вносяться до реєстру лише на добровільних засадах, чи можливий інший порядок.</w:t>
      </w:r>
      <w:r w:rsidR="006F4CB8">
        <w:t xml:space="preserve"> </w:t>
      </w:r>
    </w:p>
    <w:p w:rsidR="006F4CB8" w:rsidRDefault="006F4CB8" w:rsidP="00616A4D">
      <w:pPr>
        <w:pStyle w:val="a3"/>
      </w:pPr>
      <w:r>
        <w:t>Також, у змінах до цього Закону є посилання на неіснуючий Закон «Про державний реєстр присяжних» і безпосередньо на неіснуючий Державний реєстр присяжних.</w:t>
      </w:r>
    </w:p>
    <w:p w:rsidR="00813E14" w:rsidRDefault="006F4CB8" w:rsidP="00616A4D">
      <w:pPr>
        <w:pStyle w:val="a3"/>
      </w:pPr>
      <w:r>
        <w:t>Запропоновані зміни до Кримінального процесуального кодексу</w:t>
      </w:r>
      <w:r w:rsidR="00DD4CA9">
        <w:t xml:space="preserve"> несуть у собі </w:t>
      </w:r>
      <w:r w:rsidR="00DD4CA9" w:rsidRPr="00B23FBC">
        <w:t>окремі ризики</w:t>
      </w:r>
      <w:r w:rsidR="00DD4CA9">
        <w:t>, а саме:</w:t>
      </w:r>
    </w:p>
    <w:p w:rsidR="00DD4CA9" w:rsidRDefault="004D2CD0" w:rsidP="00E552AA">
      <w:pPr>
        <w:pStyle w:val="a3"/>
        <w:numPr>
          <w:ilvl w:val="0"/>
          <w:numId w:val="1"/>
        </w:numPr>
      </w:pPr>
      <w:r>
        <w:t>викладення</w:t>
      </w:r>
      <w:r w:rsidR="00DD4CA9">
        <w:t xml:space="preserve"> статті 384 </w:t>
      </w:r>
      <w:r w:rsidRPr="004D2CD0">
        <w:rPr>
          <w:i/>
          <w:sz w:val="24"/>
          <w:szCs w:val="24"/>
        </w:rPr>
        <w:t>«Роз’яснення права на суд присяжних»</w:t>
      </w:r>
      <w:r>
        <w:t xml:space="preserve"> в новій редакції під назвою </w:t>
      </w:r>
      <w:r w:rsidRPr="004D2CD0">
        <w:rPr>
          <w:i/>
          <w:sz w:val="24"/>
          <w:szCs w:val="24"/>
        </w:rPr>
        <w:t>«Порядок попереднього розгляду справи у суді присяжних»</w:t>
      </w:r>
      <w:r>
        <w:t xml:space="preserve"> без </w:t>
      </w:r>
      <w:r w:rsidR="00E552AA">
        <w:t xml:space="preserve">діючої </w:t>
      </w:r>
      <w:r w:rsidR="00DD4CA9">
        <w:t>норм</w:t>
      </w:r>
      <w:r w:rsidR="00E552AA">
        <w:t xml:space="preserve">и, яка </w:t>
      </w:r>
      <w:r>
        <w:t>покладає на</w:t>
      </w:r>
      <w:r w:rsidR="00DD4CA9">
        <w:t xml:space="preserve">  прокурора, суду </w:t>
      </w:r>
      <w:r>
        <w:t xml:space="preserve">обов’язки </w:t>
      </w:r>
      <w:r w:rsidR="00DD4CA9">
        <w:t>роз’яснювати обвинуваченому право на суд присяжних</w:t>
      </w:r>
      <w:r w:rsidR="00E552AA">
        <w:t xml:space="preserve">. Відсутність цієї норми </w:t>
      </w:r>
      <w:r w:rsidR="00DD4CA9">
        <w:t xml:space="preserve">призведе до </w:t>
      </w:r>
      <w:r w:rsidR="00E552AA">
        <w:t>маніпуляцій</w:t>
      </w:r>
      <w:r w:rsidR="00E552AA" w:rsidRPr="00E552AA">
        <w:t xml:space="preserve"> </w:t>
      </w:r>
      <w:r w:rsidR="00E552AA">
        <w:t>прокурора, суду;</w:t>
      </w:r>
    </w:p>
    <w:p w:rsidR="004D2CD0" w:rsidRDefault="004D2CD0" w:rsidP="004D2CD0">
      <w:pPr>
        <w:pStyle w:val="a3"/>
        <w:numPr>
          <w:ilvl w:val="0"/>
          <w:numId w:val="1"/>
        </w:numPr>
      </w:pPr>
      <w:r>
        <w:lastRenderedPageBreak/>
        <w:t xml:space="preserve">викладення статті 389 </w:t>
      </w:r>
      <w:r w:rsidRPr="004D2CD0">
        <w:rPr>
          <w:i/>
          <w:sz w:val="24"/>
          <w:szCs w:val="24"/>
        </w:rPr>
        <w:t>«</w:t>
      </w:r>
      <w:r>
        <w:rPr>
          <w:i/>
          <w:sz w:val="24"/>
          <w:szCs w:val="24"/>
        </w:rPr>
        <w:t>Недопустимість незаконного впливу на присяжного</w:t>
      </w:r>
      <w:r w:rsidRPr="004D2CD0">
        <w:rPr>
          <w:i/>
          <w:sz w:val="24"/>
          <w:szCs w:val="24"/>
        </w:rPr>
        <w:t>»</w:t>
      </w:r>
      <w:r>
        <w:t xml:space="preserve"> в новій редакції під назвою </w:t>
      </w:r>
      <w:r w:rsidRPr="004D2CD0">
        <w:rPr>
          <w:i/>
          <w:sz w:val="24"/>
          <w:szCs w:val="24"/>
        </w:rPr>
        <w:t>«</w:t>
      </w:r>
      <w:r>
        <w:rPr>
          <w:i/>
          <w:sz w:val="24"/>
          <w:szCs w:val="24"/>
        </w:rPr>
        <w:t>Старшина</w:t>
      </w:r>
      <w:r w:rsidRPr="004D2CD0">
        <w:rPr>
          <w:i/>
          <w:sz w:val="24"/>
          <w:szCs w:val="24"/>
        </w:rPr>
        <w:t xml:space="preserve"> присяжних»</w:t>
      </w:r>
      <w:r>
        <w:t xml:space="preserve"> без діючої норми, яка </w:t>
      </w:r>
      <w:r w:rsidR="000566F7">
        <w:t>забороняла учасникам процесу спілкуватися  з присяжними</w:t>
      </w:r>
      <w:r>
        <w:t xml:space="preserve">. Відсутність цієї норми призведе до </w:t>
      </w:r>
      <w:r w:rsidR="000566F7">
        <w:t xml:space="preserve">впливу на присяжних і фактично унеможливлює притягнення до відповідальності </w:t>
      </w:r>
      <w:r w:rsidR="00B96D3F">
        <w:t>за вплив на нього</w:t>
      </w:r>
      <w:r>
        <w:t>;</w:t>
      </w:r>
    </w:p>
    <w:p w:rsidR="004D2CD0" w:rsidRPr="00526738" w:rsidRDefault="00526738" w:rsidP="004D2CD0">
      <w:pPr>
        <w:pStyle w:val="a3"/>
        <w:numPr>
          <w:ilvl w:val="0"/>
          <w:numId w:val="1"/>
        </w:numPr>
        <w:rPr>
          <w:i/>
        </w:rPr>
      </w:pPr>
      <w:r>
        <w:t xml:space="preserve">норми частин 2,3 статті 391-6  </w:t>
      </w:r>
      <w:r w:rsidRPr="00526738">
        <w:rPr>
          <w:i/>
          <w:sz w:val="24"/>
          <w:szCs w:val="24"/>
        </w:rPr>
        <w:t>«Зміст питань для вирішення журі</w:t>
      </w:r>
      <w:r w:rsidRPr="00526738">
        <w:rPr>
          <w:i/>
        </w:rPr>
        <w:t>»</w:t>
      </w:r>
      <w:r w:rsidRPr="00526738">
        <w:t xml:space="preserve">  над</w:t>
      </w:r>
      <w:r>
        <w:t>іля</w:t>
      </w:r>
      <w:r w:rsidRPr="00526738">
        <w:t xml:space="preserve">ють </w:t>
      </w:r>
      <w:r w:rsidRPr="00B23FBC">
        <w:t>суд можливостями</w:t>
      </w:r>
      <w:r>
        <w:t xml:space="preserve"> на власний розсуд маніпулювати формулюванням питан</w:t>
      </w:r>
      <w:r w:rsidR="00857D6C">
        <w:t>ь</w:t>
      </w:r>
      <w:r>
        <w:t xml:space="preserve"> в опитувальному листі для журі</w:t>
      </w:r>
      <w:r w:rsidR="00857D6C">
        <w:t>;</w:t>
      </w:r>
    </w:p>
    <w:p w:rsidR="00E552AA" w:rsidRDefault="00857D6C" w:rsidP="00E552AA">
      <w:pPr>
        <w:pStyle w:val="a3"/>
        <w:numPr>
          <w:ilvl w:val="0"/>
          <w:numId w:val="1"/>
        </w:numPr>
      </w:pPr>
      <w:r>
        <w:t xml:space="preserve">в прикінцевих і перехідних </w:t>
      </w:r>
      <w:r w:rsidRPr="00B23FBC">
        <w:t>положеннях не врегульовується процедура</w:t>
      </w:r>
      <w:r>
        <w:t xml:space="preserve"> наявності прав у обвинуваченого, справа якого вже розглядається в суді, заявляти клопотання про суд присяжних та процедура формування суду присяжних у такому випадку. </w:t>
      </w:r>
    </w:p>
    <w:p w:rsidR="001E29A5" w:rsidRDefault="001E29A5" w:rsidP="00616A4D">
      <w:pPr>
        <w:pStyle w:val="a3"/>
      </w:pPr>
    </w:p>
    <w:p w:rsidR="001E29A5" w:rsidRDefault="001E29A5" w:rsidP="00616A4D">
      <w:pPr>
        <w:pStyle w:val="a3"/>
      </w:pPr>
    </w:p>
    <w:p w:rsidR="00616A4D" w:rsidRDefault="00616A4D" w:rsidP="00616A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00"/>
        <w:jc w:val="both"/>
        <w:rPr>
          <w:b/>
          <w:lang w:val="uk-UA"/>
        </w:rPr>
      </w:pPr>
    </w:p>
    <w:p w:rsidR="00616A4D" w:rsidRDefault="00616A4D" w:rsidP="00616A4D">
      <w:pPr>
        <w:ind w:firstLine="720"/>
        <w:jc w:val="both"/>
        <w:rPr>
          <w:lang w:val="uk-UA"/>
        </w:rPr>
      </w:pPr>
      <w:r>
        <w:rPr>
          <w:lang w:val="uk-UA"/>
        </w:rPr>
        <w:t xml:space="preserve">Законопроект необхідно </w:t>
      </w:r>
      <w:r w:rsidR="0058398D">
        <w:rPr>
          <w:lang w:val="uk-UA"/>
        </w:rPr>
        <w:t>повернути на доопрацювання суб’єкту законодавчої ініціативи</w:t>
      </w:r>
      <w:r>
        <w:rPr>
          <w:lang w:val="uk-UA"/>
        </w:rPr>
        <w:t xml:space="preserve">. </w:t>
      </w:r>
    </w:p>
    <w:p w:rsidR="00B23FBC" w:rsidRDefault="00B23FBC" w:rsidP="00616A4D">
      <w:pPr>
        <w:ind w:firstLine="720"/>
        <w:jc w:val="both"/>
        <w:rPr>
          <w:b/>
          <w:lang w:val="uk-UA"/>
        </w:rPr>
      </w:pPr>
    </w:p>
    <w:p w:rsidR="00616A4D" w:rsidRDefault="00616A4D" w:rsidP="00616A4D">
      <w:pPr>
        <w:ind w:firstLine="720"/>
        <w:jc w:val="both"/>
        <w:rPr>
          <w:lang w:val="uk-UA"/>
        </w:rPr>
      </w:pPr>
      <w:bookmarkStart w:id="0" w:name="_GoBack"/>
      <w:bookmarkEnd w:id="0"/>
      <w:r>
        <w:rPr>
          <w:b/>
          <w:lang w:val="uk-UA"/>
        </w:rPr>
        <w:t xml:space="preserve">Голова Комітету                                                              </w:t>
      </w:r>
      <w:proofErr w:type="spellStart"/>
      <w:r>
        <w:rPr>
          <w:b/>
          <w:lang w:val="uk-UA"/>
        </w:rPr>
        <w:t>Є.Соболєв</w:t>
      </w:r>
      <w:proofErr w:type="spellEnd"/>
    </w:p>
    <w:p w:rsidR="005204CF" w:rsidRPr="00616A4D" w:rsidRDefault="005204CF">
      <w:pPr>
        <w:rPr>
          <w:lang w:val="uk-UA"/>
        </w:rPr>
      </w:pPr>
    </w:p>
    <w:sectPr w:rsidR="005204CF" w:rsidRPr="00616A4D"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B2C" w:rsidRDefault="00287B2C" w:rsidP="00D278E6">
      <w:r>
        <w:separator/>
      </w:r>
    </w:p>
  </w:endnote>
  <w:endnote w:type="continuationSeparator" w:id="0">
    <w:p w:rsidR="00287B2C" w:rsidRDefault="00287B2C" w:rsidP="00D27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B2C" w:rsidRDefault="00287B2C" w:rsidP="00D278E6">
      <w:r>
        <w:separator/>
      </w:r>
    </w:p>
  </w:footnote>
  <w:footnote w:type="continuationSeparator" w:id="0">
    <w:p w:rsidR="00287B2C" w:rsidRDefault="00287B2C" w:rsidP="00D278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8E6" w:rsidRDefault="00D278E6" w:rsidP="00D278E6">
    <w:pPr>
      <w:pStyle w:val="a5"/>
      <w:rPr>
        <w:lang w:val="uk-UA"/>
      </w:rPr>
    </w:pPr>
    <w:r>
      <w:rPr>
        <w:lang w:val="uk-UA"/>
      </w:rPr>
      <w:t xml:space="preserve">                                                                                                   До реєстр.№3608</w:t>
    </w:r>
  </w:p>
  <w:p w:rsidR="00D278E6" w:rsidRDefault="00D278E6" w:rsidP="00D278E6">
    <w:pPr>
      <w:pStyle w:val="a5"/>
    </w:pPr>
    <w:r>
      <w:rPr>
        <w:lang w:val="uk-UA"/>
      </w:rPr>
      <w:t xml:space="preserve">                                                                                                   від 09.12.2015</w:t>
    </w:r>
  </w:p>
  <w:p w:rsidR="00D278E6" w:rsidRPr="00D278E6" w:rsidRDefault="00D278E6">
    <w:pPr>
      <w:pStyle w:val="a5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53994"/>
    <w:multiLevelType w:val="hybridMultilevel"/>
    <w:tmpl w:val="6178947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A4D"/>
    <w:rsid w:val="00056502"/>
    <w:rsid w:val="000566F7"/>
    <w:rsid w:val="001E29A5"/>
    <w:rsid w:val="00287B2C"/>
    <w:rsid w:val="004954B6"/>
    <w:rsid w:val="004D2CD0"/>
    <w:rsid w:val="00506010"/>
    <w:rsid w:val="005204CF"/>
    <w:rsid w:val="00526738"/>
    <w:rsid w:val="0058398D"/>
    <w:rsid w:val="00616A4D"/>
    <w:rsid w:val="00696649"/>
    <w:rsid w:val="006F4CB8"/>
    <w:rsid w:val="00813E14"/>
    <w:rsid w:val="00857D6C"/>
    <w:rsid w:val="00B23FBC"/>
    <w:rsid w:val="00B96D3F"/>
    <w:rsid w:val="00C8628D"/>
    <w:rsid w:val="00D278E6"/>
    <w:rsid w:val="00DD4CA9"/>
    <w:rsid w:val="00E552AA"/>
    <w:rsid w:val="00EB3E86"/>
    <w:rsid w:val="00F0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115AD"/>
  <w15:chartTrackingRefBased/>
  <w15:docId w15:val="{E2E393FD-6F5B-4018-BB27-1AFD5C6F5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A4D"/>
    <w:pPr>
      <w:spacing w:after="0" w:line="240" w:lineRule="auto"/>
    </w:pPr>
    <w:rPr>
      <w:rFonts w:eastAsia="Times New Roman" w:cs="Times New Roman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616A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szCs w:val="28"/>
      <w:lang w:val="uk-UA"/>
    </w:rPr>
  </w:style>
  <w:style w:type="character" w:customStyle="1" w:styleId="a4">
    <w:name w:val="Основний текст з відступом Знак"/>
    <w:basedOn w:val="a0"/>
    <w:link w:val="a3"/>
    <w:rsid w:val="00616A4D"/>
    <w:rPr>
      <w:rFonts w:eastAsia="Times New Roman" w:cs="Times New Roman"/>
      <w:szCs w:val="28"/>
      <w:lang w:eastAsia="ru-RU"/>
    </w:rPr>
  </w:style>
  <w:style w:type="paragraph" w:styleId="2">
    <w:name w:val="Body Text 2"/>
    <w:basedOn w:val="a"/>
    <w:link w:val="20"/>
    <w:semiHidden/>
    <w:unhideWhenUsed/>
    <w:rsid w:val="00616A4D"/>
    <w:pPr>
      <w:spacing w:after="120" w:line="480" w:lineRule="auto"/>
    </w:pPr>
    <w:rPr>
      <w:szCs w:val="20"/>
      <w:lang w:val="uk-UA"/>
    </w:rPr>
  </w:style>
  <w:style w:type="character" w:customStyle="1" w:styleId="20">
    <w:name w:val="Основний текст 2 Знак"/>
    <w:basedOn w:val="a0"/>
    <w:link w:val="2"/>
    <w:semiHidden/>
    <w:rsid w:val="00616A4D"/>
    <w:rPr>
      <w:rFonts w:eastAsia="Times New Roman" w:cs="Times New Roman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D278E6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D278E6"/>
    <w:rPr>
      <w:rFonts w:eastAsia="Times New Roman" w:cs="Times New Roman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D278E6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D278E6"/>
    <w:rPr>
      <w:rFonts w:eastAsia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17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1871</Words>
  <Characters>1068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12</cp:revision>
  <dcterms:created xsi:type="dcterms:W3CDTF">2016-04-06T11:22:00Z</dcterms:created>
  <dcterms:modified xsi:type="dcterms:W3CDTF">2016-06-16T15:09:00Z</dcterms:modified>
</cp:coreProperties>
</file>