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header2.xml" ContentType="application/vnd.openxmlformats-officedocument.wordprocessingml.header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503DF5" w:rsidRPr="00960E6A" w:rsidRDefault="00503DF5" w:rsidP="002934BE">
      <w:pPr>
        <w:shd w:val="solid" w:color="FFFFFF" w:fill="FFFFFF"/>
        <w:jc w:val="center"/>
      </w:pPr>
      <w:r w:rsidRPr="00960E6A">
        <w:rPr>
          <w:b/>
          <w:bCs/>
          <w:color w:val="000000"/>
        </w:rPr>
        <w:t>ПОЯСНЮВАЛЬНА ЗАПИСКА</w:t>
      </w:r>
    </w:p>
    <w:p w:rsidR="00503DF5" w:rsidRPr="00EC08C7" w:rsidRDefault="00503DF5" w:rsidP="002934BE">
      <w:pPr>
        <w:jc w:val="center"/>
        <w:rPr>
          <w:b/>
          <w:bCs/>
          <w:color w:val="000000"/>
          <w:lang w:val="ru-RU"/>
        </w:rPr>
      </w:pPr>
      <w:r w:rsidRPr="00960E6A">
        <w:rPr>
          <w:b/>
          <w:bCs/>
          <w:color w:val="000000"/>
        </w:rPr>
        <w:t xml:space="preserve">до проекту Закону України </w:t>
      </w:r>
    </w:p>
    <w:p w:rsidR="00503DF5" w:rsidRPr="00D923FC" w:rsidRDefault="00503DF5" w:rsidP="003F1F0A">
      <w:pPr>
        <w:pStyle w:val="rvps6"/>
        <w:spacing w:before="0" w:beforeAutospacing="0" w:after="0" w:afterAutospacing="0"/>
        <w:ind w:firstLine="709"/>
        <w:jc w:val="center"/>
        <w:rPr>
          <w:sz w:val="28"/>
          <w:szCs w:val="28"/>
          <w:lang w:val="uk-UA"/>
        </w:rPr>
      </w:pPr>
      <w:r>
        <w:rPr>
          <w:rFonts w:ascii="Calibri" w:hAnsi="Calibri"/>
          <w:bCs/>
          <w:lang w:val="uk-UA"/>
        </w:rPr>
        <w:t>«</w:t>
      </w:r>
      <w:r w:rsidRPr="00101F20">
        <w:rPr>
          <w:rStyle w:val="rvts23"/>
          <w:b/>
          <w:sz w:val="28"/>
          <w:szCs w:val="28"/>
          <w:lang w:val="uk-UA"/>
        </w:rPr>
        <w:t>Про внесення змін до Податкового кодексу України щодо</w:t>
      </w:r>
      <w:r w:rsidRPr="0085316A">
        <w:rPr>
          <w:rStyle w:val="rvts23"/>
          <w:b/>
          <w:sz w:val="28"/>
          <w:szCs w:val="28"/>
        </w:rPr>
        <w:t xml:space="preserve"> </w:t>
      </w:r>
      <w:r w:rsidRPr="00101F20">
        <w:rPr>
          <w:rStyle w:val="rvts23"/>
          <w:b/>
          <w:sz w:val="28"/>
          <w:szCs w:val="28"/>
          <w:lang w:val="uk-UA"/>
        </w:rPr>
        <w:t>створення умов для розвитку курортних міст</w:t>
      </w:r>
      <w:r>
        <w:rPr>
          <w:rFonts w:ascii="Calibri" w:hAnsi="Calibri"/>
          <w:bCs/>
          <w:lang w:val="uk-UA"/>
        </w:rPr>
        <w:t>»</w:t>
      </w:r>
    </w:p>
    <w:p w:rsidR="00503DF5" w:rsidRDefault="00503DF5" w:rsidP="002934BE">
      <w:pPr>
        <w:shd w:val="solid" w:color="FFFFFF" w:fill="FFFFFF"/>
        <w:jc w:val="center"/>
        <w:rPr>
          <w:bCs/>
          <w:color w:val="000000"/>
          <w:lang w:val="ru-RU"/>
        </w:rPr>
      </w:pPr>
    </w:p>
    <w:p w:rsidR="00503DF5" w:rsidRPr="00F05382" w:rsidRDefault="00503DF5" w:rsidP="002934BE">
      <w:pPr>
        <w:shd w:val="solid" w:color="FFFFFF" w:fill="FFFFFF"/>
        <w:jc w:val="center"/>
        <w:rPr>
          <w:bCs/>
          <w:color w:val="000000"/>
          <w:lang w:val="ru-RU"/>
        </w:rPr>
      </w:pPr>
    </w:p>
    <w:p w:rsidR="00503DF5" w:rsidRDefault="00503DF5" w:rsidP="00B3279C">
      <w:pPr>
        <w:numPr>
          <w:ilvl w:val="0"/>
          <w:numId w:val="1"/>
        </w:numPr>
        <w:shd w:val="solid" w:color="FFFFFF" w:fill="FFFFFF"/>
        <w:tabs>
          <w:tab w:val="clear" w:pos="1069"/>
          <w:tab w:val="left" w:pos="567"/>
          <w:tab w:val="left" w:pos="1134"/>
        </w:tabs>
        <w:ind w:left="0" w:firstLine="0"/>
        <w:jc w:val="both"/>
        <w:rPr>
          <w:b/>
          <w:bCs/>
          <w:color w:val="000000"/>
        </w:rPr>
      </w:pPr>
      <w:r w:rsidRPr="00960E6A">
        <w:rPr>
          <w:b/>
          <w:bCs/>
          <w:color w:val="000000"/>
        </w:rPr>
        <w:t>Обґрунтування необхідності прийняття законопроекту</w:t>
      </w:r>
    </w:p>
    <w:p w:rsidR="00503DF5" w:rsidRPr="005C2A21" w:rsidRDefault="00503DF5" w:rsidP="00901DC5">
      <w:pPr>
        <w:ind w:firstLine="709"/>
        <w:jc w:val="both"/>
        <w:rPr>
          <w:bCs/>
        </w:rPr>
      </w:pPr>
      <w:r>
        <w:t>Внесення змін до</w:t>
      </w:r>
      <w:r w:rsidRPr="005C2A21">
        <w:t xml:space="preserve"> </w:t>
      </w:r>
      <w:r w:rsidRPr="00F760AB">
        <w:t>Податкового кодексу України</w:t>
      </w:r>
      <w:r w:rsidRPr="005C2A21">
        <w:t xml:space="preserve"> </w:t>
      </w:r>
      <w:r>
        <w:rPr>
          <w:bCs/>
        </w:rPr>
        <w:t>обумовлено необхідністю перегляду</w:t>
      </w:r>
      <w:r w:rsidRPr="005C2A21">
        <w:rPr>
          <w:bCs/>
        </w:rPr>
        <w:t xml:space="preserve"> </w:t>
      </w:r>
      <w:r>
        <w:rPr>
          <w:bCs/>
        </w:rPr>
        <w:t>ряду</w:t>
      </w:r>
      <w:r w:rsidRPr="005C2A21">
        <w:rPr>
          <w:bCs/>
        </w:rPr>
        <w:t xml:space="preserve"> </w:t>
      </w:r>
      <w:r>
        <w:rPr>
          <w:bCs/>
        </w:rPr>
        <w:t xml:space="preserve">правових норм, що ускладнили розвиток курортних міст України та не були враховані при </w:t>
      </w:r>
      <w:r w:rsidRPr="001C30BA">
        <w:t>прийнят</w:t>
      </w:r>
      <w:r>
        <w:t>ті</w:t>
      </w:r>
      <w:r w:rsidRPr="001C30BA">
        <w:t xml:space="preserve"> Закон</w:t>
      </w:r>
      <w:r>
        <w:t>у</w:t>
      </w:r>
      <w:r w:rsidRPr="001C30BA">
        <w:t xml:space="preserve"> України №654-</w:t>
      </w:r>
      <w:r w:rsidRPr="001C30BA">
        <w:rPr>
          <w:lang w:val="en-US"/>
        </w:rPr>
        <w:t>VIII</w:t>
      </w:r>
      <w:r w:rsidRPr="001C30BA">
        <w:t xml:space="preserve"> від 17.07.2015р.</w:t>
      </w:r>
      <w:r w:rsidRPr="00F760AB">
        <w:t xml:space="preserve"> «Про внесення змін до Податкового кодексу України щодо створення сприятливих умов для надання освітніх послуг дошкільними та загальноосвітніми навчальними закладами недержавної форми власності»</w:t>
      </w:r>
      <w:r w:rsidRPr="005C2A21">
        <w:t>.</w:t>
      </w:r>
    </w:p>
    <w:p w:rsidR="00503DF5" w:rsidRDefault="00503DF5" w:rsidP="003F1F0A">
      <w:pPr>
        <w:ind w:firstLine="708"/>
        <w:jc w:val="both"/>
      </w:pPr>
      <w:r>
        <w:t xml:space="preserve">Згаданий вище </w:t>
      </w:r>
      <w:r w:rsidRPr="001C30BA">
        <w:t>Закон України №654-</w:t>
      </w:r>
      <w:r w:rsidRPr="001C30BA">
        <w:rPr>
          <w:lang w:val="en-US"/>
        </w:rPr>
        <w:t>VIII</w:t>
      </w:r>
      <w:r w:rsidRPr="001C30BA">
        <w:t xml:space="preserve"> від 17.07.2015р.</w:t>
      </w:r>
      <w:r w:rsidRPr="00F760AB">
        <w:t xml:space="preserve"> від плати за землю звільн</w:t>
      </w:r>
      <w:r>
        <w:t>ив серед інших</w:t>
      </w:r>
      <w:r w:rsidRPr="00F760AB">
        <w:t xml:space="preserve"> «заклади охорони здоров’я, </w:t>
      </w:r>
      <w:r w:rsidRPr="00F54A3D">
        <w:rPr>
          <w:rStyle w:val="rvts0"/>
        </w:rPr>
        <w:t>які повністю утримуються за рахунок коштів державного або місцевих бюджетів</w:t>
      </w:r>
      <w:r w:rsidRPr="00F760AB">
        <w:rPr>
          <w:rStyle w:val="rvts0"/>
        </w:rPr>
        <w:t>»</w:t>
      </w:r>
      <w:r w:rsidRPr="00F54A3D">
        <w:rPr>
          <w:rStyle w:val="rvts0"/>
        </w:rPr>
        <w:t xml:space="preserve">. </w:t>
      </w:r>
      <w:r>
        <w:rPr>
          <w:rStyle w:val="rvts0"/>
        </w:rPr>
        <w:t xml:space="preserve">Очевидним було прагнення звільнити лікувальні заклади, профілакторії, поліклініки тощо, які виконують соціальну функцію держави та надають безкоштовні послуги громадянам. Проте, закон не врахував, що </w:t>
      </w:r>
      <w:r w:rsidRPr="00F760AB">
        <w:t xml:space="preserve">до таких закладів належать </w:t>
      </w:r>
      <w:r>
        <w:t xml:space="preserve">також і </w:t>
      </w:r>
      <w:r w:rsidRPr="00F760AB">
        <w:t xml:space="preserve">відомчі санаторії, </w:t>
      </w:r>
      <w:r>
        <w:t xml:space="preserve">які у своїй більшості </w:t>
      </w:r>
      <w:r w:rsidRPr="00F760AB">
        <w:t>здійсню</w:t>
      </w:r>
      <w:r>
        <w:t>ють</w:t>
      </w:r>
      <w:r w:rsidRPr="00F760AB">
        <w:t xml:space="preserve"> комерційну діяльність із реалізації путівок</w:t>
      </w:r>
      <w:r>
        <w:t xml:space="preserve"> та є у повній мірі господарюючими суб’єктами. Таким чином, надавши пільгу зі сплати за землю, закон обмежив конкуренцію, поставив у невигідні економічні умови</w:t>
      </w:r>
      <w:r w:rsidRPr="00F760AB">
        <w:t xml:space="preserve"> інш</w:t>
      </w:r>
      <w:r>
        <w:t>і</w:t>
      </w:r>
      <w:r w:rsidRPr="00F760AB">
        <w:t xml:space="preserve"> санаторно-курортн</w:t>
      </w:r>
      <w:r>
        <w:t>і</w:t>
      </w:r>
      <w:r w:rsidRPr="00F760AB">
        <w:t xml:space="preserve"> заклад</w:t>
      </w:r>
      <w:r>
        <w:t>и та найголовніше – позбавив місцеві бюджети курортних міст значної частки доходів.</w:t>
      </w:r>
    </w:p>
    <w:p w:rsidR="00503DF5" w:rsidRPr="00F760AB" w:rsidRDefault="00503DF5" w:rsidP="003F1F0A">
      <w:pPr>
        <w:ind w:firstLine="708"/>
        <w:jc w:val="both"/>
      </w:pPr>
      <w:r>
        <w:t>Втрати зазнали усі курортні міста, оскільки відомчі санаторії ще за радянської доби розкинулись і множились у всіх кутках України. Сумним є той факт, що курортні міста не мають можливості компенсувати такі втрати та й держава не подбала про механізми компенсації. Наприклад, бюджет міста Трускавець</w:t>
      </w:r>
      <w:r w:rsidRPr="0085316A">
        <w:rPr>
          <w:lang w:val="ru-RU"/>
        </w:rPr>
        <w:t xml:space="preserve"> </w:t>
      </w:r>
      <w:r w:rsidRPr="00F760AB">
        <w:t xml:space="preserve">у 2015 році </w:t>
      </w:r>
      <w:r>
        <w:t xml:space="preserve">не отримав </w:t>
      </w:r>
      <w:r w:rsidRPr="00F760AB">
        <w:t>більше 1</w:t>
      </w:r>
      <w:r>
        <w:t>,</w:t>
      </w:r>
      <w:r w:rsidRPr="00F760AB">
        <w:t>6</w:t>
      </w:r>
      <w:r>
        <w:t xml:space="preserve"> мільйона гривень, що для такого невеликого міста є вагомою втратою</w:t>
      </w:r>
      <w:r w:rsidRPr="00F760AB">
        <w:t xml:space="preserve">. </w:t>
      </w:r>
    </w:p>
    <w:p w:rsidR="00503DF5" w:rsidRPr="00F760AB" w:rsidRDefault="00503DF5" w:rsidP="003F1F0A">
      <w:pPr>
        <w:jc w:val="both"/>
      </w:pPr>
      <w:r w:rsidRPr="00F760AB">
        <w:tab/>
      </w:r>
      <w:r>
        <w:t>Д</w:t>
      </w:r>
      <w:r w:rsidRPr="00F760AB">
        <w:t>оцільно розглянути</w:t>
      </w:r>
      <w:r>
        <w:t xml:space="preserve"> також і питання</w:t>
      </w:r>
      <w:r w:rsidRPr="00F760AB">
        <w:t xml:space="preserve"> справляння туристичного збору</w:t>
      </w:r>
      <w:r>
        <w:t xml:space="preserve">, </w:t>
      </w:r>
      <w:r w:rsidRPr="00F760AB">
        <w:t xml:space="preserve">ставка якого встановлюється в розмірі від 0,5 до 1 відсотка вартості усього періоду проживання. Однак даний збір є малоефективним для курортних міст, </w:t>
      </w:r>
      <w:r>
        <w:t>оскільки</w:t>
      </w:r>
      <w:r w:rsidRPr="00F760AB">
        <w:t xml:space="preserve"> більшість </w:t>
      </w:r>
      <w:r>
        <w:t>осіб</w:t>
      </w:r>
      <w:r w:rsidRPr="00F760AB">
        <w:t xml:space="preserve"> прибувають до </w:t>
      </w:r>
      <w:r w:rsidRPr="00F54A3D">
        <w:rPr>
          <w:rStyle w:val="rvts0"/>
        </w:rPr>
        <w:t>лікувально-профілактичних, фізкультурно-оздоровчих та санаторно-курортних закладів</w:t>
      </w:r>
      <w:r>
        <w:rPr>
          <w:rStyle w:val="rvts0"/>
        </w:rPr>
        <w:t xml:space="preserve"> </w:t>
      </w:r>
      <w:r w:rsidRPr="00F54A3D">
        <w:rPr>
          <w:rStyle w:val="rvts0"/>
        </w:rPr>
        <w:t>на лікування, оздоровлення, реабілітацію</w:t>
      </w:r>
      <w:r w:rsidRPr="00F760AB">
        <w:t xml:space="preserve"> за путівками, а отже не є платниками туристичного збору відповідно до п.п. «д» п. 268.2.2 ст. 268 Податкового кодексу України.</w:t>
      </w:r>
    </w:p>
    <w:p w:rsidR="00503DF5" w:rsidRDefault="00503DF5" w:rsidP="003F1F0A">
      <w:pPr>
        <w:ind w:firstLine="709"/>
        <w:jc w:val="both"/>
      </w:pPr>
      <w:r w:rsidRPr="00F760AB">
        <w:t>Згадані заклади отримуют</w:t>
      </w:r>
      <w:r>
        <w:t xml:space="preserve">ь прибутки від своєї діяльності від </w:t>
      </w:r>
      <w:r w:rsidRPr="00F760AB">
        <w:t>реалізації путівок. Натомість функції санітарної очистки та благоустрою територій покладено на органи місцевого самоврядування, а відповідні витрати – на місцеві бюджети.</w:t>
      </w:r>
    </w:p>
    <w:p w:rsidR="00503DF5" w:rsidRDefault="00503DF5" w:rsidP="00203192">
      <w:pPr>
        <w:ind w:firstLine="709"/>
        <w:jc w:val="both"/>
      </w:pPr>
      <w:r w:rsidRPr="00F760AB">
        <w:t>З метою покращення благоустрою курортів, створення більш сприятливих умов для громадян, які їх відвідують</w:t>
      </w:r>
      <w:r>
        <w:t>, необхідно</w:t>
      </w:r>
      <w:r w:rsidRPr="00F760AB">
        <w:t xml:space="preserve"> збільшити надходження до місцевих бюджетів за рахунок </w:t>
      </w:r>
      <w:r>
        <w:t>перегляду</w:t>
      </w:r>
      <w:r w:rsidRPr="00F760AB">
        <w:t xml:space="preserve"> складу платників туристичного</w:t>
      </w:r>
      <w:r>
        <w:t xml:space="preserve"> збору</w:t>
      </w:r>
      <w:bookmarkStart w:id="0" w:name="_GoBack"/>
      <w:bookmarkEnd w:id="0"/>
      <w:r>
        <w:t>.</w:t>
      </w:r>
    </w:p>
    <w:p w:rsidR="00503DF5" w:rsidRDefault="00503DF5" w:rsidP="00203192">
      <w:pPr>
        <w:ind w:firstLine="709"/>
        <w:jc w:val="both"/>
        <w:rPr>
          <w:b/>
          <w:bCs/>
        </w:rPr>
      </w:pPr>
    </w:p>
    <w:p w:rsidR="00503DF5" w:rsidRPr="00960E6A" w:rsidRDefault="00503DF5" w:rsidP="00203192">
      <w:pPr>
        <w:ind w:firstLine="709"/>
        <w:jc w:val="both"/>
        <w:rPr>
          <w:b/>
          <w:bCs/>
        </w:rPr>
      </w:pPr>
      <w:r w:rsidRPr="00960E6A">
        <w:rPr>
          <w:b/>
          <w:bCs/>
        </w:rPr>
        <w:t>2.</w:t>
      </w:r>
      <w:r w:rsidRPr="000629DA">
        <w:rPr>
          <w:b/>
          <w:bCs/>
        </w:rPr>
        <w:t>Цілі і завдання законопроекту</w:t>
      </w:r>
    </w:p>
    <w:p w:rsidR="00503DF5" w:rsidRPr="00960E6A" w:rsidRDefault="00503DF5">
      <w:pPr>
        <w:shd w:val="solid" w:color="FFFFFF" w:fill="FFFFFF"/>
        <w:ind w:firstLine="709"/>
        <w:jc w:val="both"/>
      </w:pPr>
      <w:r w:rsidRPr="00960E6A">
        <w:t xml:space="preserve">Законопроект підготовлено з метою </w:t>
      </w:r>
      <w:r>
        <w:t>удосконалення правових норм в частині справляння місцевих податків у курортних містах України та створення умов для їх розвитку</w:t>
      </w:r>
      <w:r w:rsidRPr="00960E6A">
        <w:t>.</w:t>
      </w:r>
    </w:p>
    <w:p w:rsidR="00503DF5" w:rsidRDefault="00503DF5">
      <w:pPr>
        <w:shd w:val="solid" w:color="FFFFFF" w:fill="FFFFFF"/>
        <w:ind w:firstLine="709"/>
        <w:jc w:val="both"/>
        <w:rPr>
          <w:bCs/>
          <w:color w:val="000000"/>
          <w:lang w:val="ru-RU"/>
        </w:rPr>
      </w:pPr>
    </w:p>
    <w:p w:rsidR="00503DF5" w:rsidRPr="00960E6A" w:rsidRDefault="00503DF5" w:rsidP="00E84C26">
      <w:pPr>
        <w:shd w:val="solid" w:color="FFFFFF" w:fill="FFFFFF"/>
        <w:ind w:firstLine="708"/>
        <w:jc w:val="both"/>
      </w:pPr>
      <w:r w:rsidRPr="00960E6A">
        <w:rPr>
          <w:b/>
          <w:bCs/>
          <w:color w:val="000000"/>
        </w:rPr>
        <w:t>3.Загальна характеристика та основні положення законопроекту</w:t>
      </w:r>
    </w:p>
    <w:p w:rsidR="00503DF5" w:rsidRDefault="00503DF5" w:rsidP="003D4373">
      <w:pPr>
        <w:ind w:firstLine="708"/>
        <w:jc w:val="both"/>
      </w:pPr>
      <w:r w:rsidRPr="00960E6A">
        <w:t>Законопроектом пропонується</w:t>
      </w:r>
      <w:r>
        <w:t>:</w:t>
      </w:r>
    </w:p>
    <w:p w:rsidR="00503DF5" w:rsidRPr="00E84C26" w:rsidRDefault="00503DF5" w:rsidP="007E2839">
      <w:pPr>
        <w:ind w:firstLine="709"/>
        <w:jc w:val="both"/>
        <w:rPr>
          <w:b/>
          <w:bCs/>
        </w:rPr>
      </w:pPr>
      <w:r>
        <w:t xml:space="preserve">1) </w:t>
      </w:r>
      <w:r>
        <w:rPr>
          <w:color w:val="000000"/>
        </w:rPr>
        <w:t xml:space="preserve">уточнити </w:t>
      </w:r>
      <w:r w:rsidRPr="00F760AB">
        <w:t>п.п. «д» п. 268.2.2 ст. 268 Податкового кодексу України</w:t>
      </w:r>
      <w:r>
        <w:t xml:space="preserve">, включивши </w:t>
      </w:r>
      <w:r w:rsidRPr="00F760AB">
        <w:t xml:space="preserve">до складу платників туристичного збору осіб, які прибувають до </w:t>
      </w:r>
      <w:r w:rsidRPr="00F760AB">
        <w:rPr>
          <w:rStyle w:val="rvts0"/>
        </w:rPr>
        <w:t>лікувально-профілактичних, фізкультурно-оздоровчих та санаторно-курортних закладів</w:t>
      </w:r>
      <w:r>
        <w:rPr>
          <w:rStyle w:val="rvts0"/>
        </w:rPr>
        <w:t xml:space="preserve"> </w:t>
      </w:r>
      <w:r w:rsidRPr="00F760AB">
        <w:rPr>
          <w:rStyle w:val="rvts0"/>
        </w:rPr>
        <w:t>на лікування, оздоровлення, реабілітацію</w:t>
      </w:r>
      <w:r w:rsidRPr="00F760AB">
        <w:t xml:space="preserve"> за путівками (курсівками), </w:t>
      </w:r>
      <w:r w:rsidRPr="00203192">
        <w:rPr>
          <w:u w:val="single"/>
        </w:rPr>
        <w:t xml:space="preserve">за винятком тих, які прибувають за путівками (курсівками), виданими </w:t>
      </w:r>
      <w:r w:rsidRPr="00203192">
        <w:rPr>
          <w:rStyle w:val="rvts52"/>
          <w:u w:val="single"/>
        </w:rPr>
        <w:t>робочими органами Фонду соціального страхування України або благодійними організаціями</w:t>
      </w:r>
      <w:r>
        <w:rPr>
          <w:b/>
          <w:bCs/>
        </w:rPr>
        <w:t>.</w:t>
      </w:r>
    </w:p>
    <w:p w:rsidR="00503DF5" w:rsidRPr="007E2839" w:rsidRDefault="00503DF5" w:rsidP="007E2839">
      <w:pPr>
        <w:ind w:firstLine="708"/>
        <w:jc w:val="both"/>
      </w:pPr>
      <w:r>
        <w:t xml:space="preserve">2) </w:t>
      </w:r>
      <w:r w:rsidRPr="00F760AB">
        <w:t xml:space="preserve">внести зміни до пп. </w:t>
      </w:r>
      <w:r w:rsidRPr="00F54A3D">
        <w:rPr>
          <w:rStyle w:val="rvts0"/>
        </w:rPr>
        <w:t>282.1.4.</w:t>
      </w:r>
      <w:r w:rsidRPr="00F760AB">
        <w:t xml:space="preserve"> п. 282.1 ст. 282 Податкового кодексу України, згідно яких </w:t>
      </w:r>
      <w:r>
        <w:t>зобов'язати</w:t>
      </w:r>
      <w:r w:rsidRPr="00F760AB">
        <w:t xml:space="preserve"> санаторно-курортн</w:t>
      </w:r>
      <w:r>
        <w:t xml:space="preserve">і </w:t>
      </w:r>
      <w:r w:rsidRPr="00F760AB">
        <w:t>заклад</w:t>
      </w:r>
      <w:r>
        <w:t>и (</w:t>
      </w:r>
      <w:r w:rsidRPr="00F760AB">
        <w:t xml:space="preserve">у тому числі ті, які </w:t>
      </w:r>
      <w:r w:rsidRPr="00F760AB">
        <w:rPr>
          <w:rStyle w:val="rvts0"/>
        </w:rPr>
        <w:t>повністю утримуються за рахунок коштів державного або місцевих бюджетів</w:t>
      </w:r>
      <w:r>
        <w:rPr>
          <w:rStyle w:val="rvts0"/>
        </w:rPr>
        <w:t xml:space="preserve">) </w:t>
      </w:r>
      <w:r>
        <w:t>сплачувати</w:t>
      </w:r>
      <w:r w:rsidRPr="00F760AB">
        <w:t xml:space="preserve"> плат</w:t>
      </w:r>
      <w:r>
        <w:t>у</w:t>
      </w:r>
      <w:r w:rsidRPr="00F760AB">
        <w:t xml:space="preserve"> за землю на загальних підставах.</w:t>
      </w:r>
    </w:p>
    <w:p w:rsidR="00503DF5" w:rsidRPr="004B7826" w:rsidRDefault="00503DF5">
      <w:pPr>
        <w:shd w:val="solid" w:color="FFFFFF" w:fill="FFFFFF"/>
        <w:ind w:firstLine="709"/>
        <w:jc w:val="both"/>
        <w:rPr>
          <w:bCs/>
          <w:color w:val="000000"/>
        </w:rPr>
      </w:pPr>
    </w:p>
    <w:p w:rsidR="00503DF5" w:rsidRPr="00960E6A" w:rsidRDefault="00503DF5" w:rsidP="00E84C26">
      <w:pPr>
        <w:shd w:val="solid" w:color="FFFFFF" w:fill="FFFFFF"/>
        <w:ind w:firstLine="708"/>
        <w:jc w:val="both"/>
      </w:pPr>
      <w:r w:rsidRPr="00960E6A">
        <w:rPr>
          <w:b/>
          <w:bCs/>
          <w:color w:val="000000"/>
        </w:rPr>
        <w:t>4.Стан нормативно-правової бази в даній сфері нормативно-правового регулювання</w:t>
      </w:r>
    </w:p>
    <w:p w:rsidR="00503DF5" w:rsidRDefault="00503DF5" w:rsidP="004B7826">
      <w:pPr>
        <w:shd w:val="solid" w:color="FFFFFF" w:fill="FFFFFF"/>
        <w:ind w:firstLine="709"/>
        <w:jc w:val="both"/>
        <w:rPr>
          <w:color w:val="000000"/>
        </w:rPr>
      </w:pPr>
      <w:r w:rsidRPr="004B7826">
        <w:rPr>
          <w:color w:val="000000"/>
        </w:rPr>
        <w:t xml:space="preserve">Нормативно-правову базу в цій сфері становлять </w:t>
      </w:r>
      <w:r>
        <w:rPr>
          <w:color w:val="000000"/>
        </w:rPr>
        <w:t>Податковий кодекс України</w:t>
      </w:r>
      <w:r w:rsidRPr="004B7826">
        <w:rPr>
          <w:color w:val="000000"/>
        </w:rPr>
        <w:t xml:space="preserve"> та інші законодавчі акти.</w:t>
      </w:r>
    </w:p>
    <w:p w:rsidR="00503DF5" w:rsidRPr="004B7826" w:rsidRDefault="00503DF5" w:rsidP="004B7826">
      <w:pPr>
        <w:shd w:val="solid" w:color="FFFFFF" w:fill="FFFFFF"/>
        <w:ind w:firstLine="709"/>
        <w:jc w:val="both"/>
        <w:rPr>
          <w:color w:val="000000"/>
        </w:rPr>
      </w:pPr>
    </w:p>
    <w:p w:rsidR="00503DF5" w:rsidRPr="00960E6A" w:rsidRDefault="00503DF5" w:rsidP="00E84C26">
      <w:pPr>
        <w:shd w:val="solid" w:color="FFFFFF" w:fill="FFFFFF"/>
        <w:ind w:firstLine="708"/>
        <w:jc w:val="both"/>
      </w:pPr>
      <w:r w:rsidRPr="00960E6A">
        <w:rPr>
          <w:b/>
          <w:bCs/>
          <w:color w:val="000000"/>
        </w:rPr>
        <w:t>5.Фінансово-економічне обґрунтування</w:t>
      </w:r>
    </w:p>
    <w:p w:rsidR="00503DF5" w:rsidRPr="00EC08C7" w:rsidRDefault="00503DF5">
      <w:pPr>
        <w:shd w:val="solid" w:color="FFFFFF" w:fill="FFFFFF"/>
        <w:ind w:firstLine="709"/>
        <w:jc w:val="both"/>
        <w:rPr>
          <w:bCs/>
          <w:color w:val="000000"/>
          <w:lang w:val="ru-RU"/>
        </w:rPr>
      </w:pPr>
      <w:r w:rsidRPr="00960E6A">
        <w:rPr>
          <w:color w:val="000000"/>
        </w:rPr>
        <w:t>Прийняття законопроекту не спричинить додаткових витрат із Державного бюджету України.</w:t>
      </w:r>
    </w:p>
    <w:p w:rsidR="00503DF5" w:rsidRPr="00EC08C7" w:rsidRDefault="00503DF5">
      <w:pPr>
        <w:shd w:val="solid" w:color="FFFFFF" w:fill="FFFFFF"/>
        <w:ind w:firstLine="709"/>
        <w:jc w:val="both"/>
        <w:rPr>
          <w:bCs/>
          <w:color w:val="000000"/>
          <w:lang w:val="ru-RU"/>
        </w:rPr>
      </w:pPr>
    </w:p>
    <w:p w:rsidR="00503DF5" w:rsidRPr="00960E6A" w:rsidRDefault="00503DF5" w:rsidP="00E84C26">
      <w:pPr>
        <w:shd w:val="solid" w:color="FFFFFF" w:fill="FFFFFF"/>
        <w:ind w:firstLine="708"/>
        <w:jc w:val="both"/>
      </w:pPr>
      <w:r w:rsidRPr="00960E6A">
        <w:rPr>
          <w:b/>
          <w:bCs/>
          <w:color w:val="000000"/>
        </w:rPr>
        <w:t>6.</w:t>
      </w:r>
      <w:r w:rsidRPr="00DC4A7D">
        <w:rPr>
          <w:b/>
          <w:bCs/>
        </w:rPr>
        <w:t>Обґрунтування очікуваних соціально-економічних, правових та інших наслідків застосування законопроекту після його прийняття</w:t>
      </w:r>
    </w:p>
    <w:p w:rsidR="00503DF5" w:rsidRDefault="00503DF5" w:rsidP="00EB5B57">
      <w:pPr>
        <w:ind w:firstLine="709"/>
        <w:jc w:val="both"/>
      </w:pPr>
      <w:r>
        <w:rPr>
          <w:color w:val="000000"/>
        </w:rPr>
        <w:t>Розвиток українських курортів повинно стати завданням не лише органів місцевого самоврядування, але й держави в цілому. Тому прийняття даного законопроекту є в інтересах держави, а результати реалізації його норм приведуть до підвищення комфорту і зовнішнього вигляду всіх курортів України.</w:t>
      </w:r>
    </w:p>
    <w:p w:rsidR="00503DF5" w:rsidRDefault="00503DF5" w:rsidP="004B7826">
      <w:pPr>
        <w:jc w:val="both"/>
        <w:rPr>
          <w:b/>
          <w:bCs/>
          <w:color w:val="000000"/>
        </w:rPr>
      </w:pPr>
    </w:p>
    <w:p w:rsidR="00503DF5" w:rsidRDefault="00503DF5" w:rsidP="00D152B3">
      <w:pPr>
        <w:ind w:left="6946" w:hanging="6804"/>
        <w:rPr>
          <w:b/>
          <w:bCs/>
        </w:rPr>
      </w:pPr>
    </w:p>
    <w:p w:rsidR="00503DF5" w:rsidRPr="00D923FC" w:rsidRDefault="00503DF5" w:rsidP="00D152B3">
      <w:pPr>
        <w:ind w:left="6946" w:hanging="6804"/>
        <w:rPr>
          <w:b/>
          <w:bCs/>
          <w:lang w:val="ru-RU"/>
        </w:rPr>
      </w:pPr>
      <w:r>
        <w:rPr>
          <w:b/>
          <w:bCs/>
        </w:rPr>
        <w:t xml:space="preserve">Народні депутати України                                                  </w:t>
      </w:r>
      <w:r w:rsidRPr="00D923FC">
        <w:rPr>
          <w:b/>
          <w:bCs/>
          <w:lang w:val="ru-RU"/>
        </w:rPr>
        <w:t xml:space="preserve">          </w:t>
      </w:r>
      <w:r>
        <w:rPr>
          <w:b/>
          <w:bCs/>
        </w:rPr>
        <w:t>Л.Л.</w:t>
      </w:r>
      <w:r w:rsidRPr="00D923FC">
        <w:rPr>
          <w:b/>
          <w:bCs/>
          <w:lang w:val="ru-RU"/>
        </w:rPr>
        <w:t xml:space="preserve"> </w:t>
      </w:r>
      <w:r>
        <w:rPr>
          <w:b/>
          <w:bCs/>
        </w:rPr>
        <w:t>Зубач</w:t>
      </w:r>
    </w:p>
    <w:p w:rsidR="00503DF5" w:rsidRPr="00D923FC" w:rsidRDefault="00503DF5" w:rsidP="00D923FC">
      <w:pPr>
        <w:ind w:left="6946" w:hanging="6804"/>
        <w:jc w:val="right"/>
        <w:rPr>
          <w:b/>
          <w:bCs/>
          <w:color w:val="000000"/>
        </w:rPr>
      </w:pPr>
      <w:r>
        <w:rPr>
          <w:b/>
          <w:bCs/>
          <w:lang w:val="ru-RU"/>
        </w:rPr>
        <w:t>О.</w:t>
      </w:r>
      <w:r w:rsidRPr="00D923FC">
        <w:rPr>
          <w:b/>
          <w:bCs/>
          <w:lang w:val="ru-RU"/>
        </w:rPr>
        <w:t>В. Лаврик</w:t>
      </w:r>
    </w:p>
    <w:sectPr w:rsidR="00503DF5" w:rsidRPr="00D923FC" w:rsidSect="00CA4632">
      <w:headerReference w:type="even" r:id="rId7"/>
      <w:headerReference w:type="default" r:id="rId8"/>
      <w:pgSz w:w="11905" w:h="16838"/>
      <w:pgMar w:top="1247" w:right="1134" w:bottom="1134" w:left="1701" w:header="709" w:footer="709" w:gutter="0"/>
      <w:pgNumType w:start="1"/>
      <w:cols w:space="720"/>
      <w:noEndnote/>
      <w:titlePg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503DF5" w:rsidRDefault="00503DF5">
      <w:r>
        <w:separator/>
      </w:r>
    </w:p>
  </w:endnote>
  <w:endnote w:type="continuationSeparator" w:id="0">
    <w:p w:rsidR="00503DF5" w:rsidRDefault="00503DF5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ahoma">
    <w:altName w:val="Arial"/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Antiqua">
    <w:altName w:val="Arial Narrow"/>
    <w:panose1 w:val="00000000000000000000"/>
    <w:charset w:val="00"/>
    <w:family w:val="swiss"/>
    <w:notTrueType/>
    <w:pitch w:val="variable"/>
    <w:sig w:usb0="00000003" w:usb1="00000000" w:usb2="00000000" w:usb3="00000000" w:csb0="00000001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503DF5" w:rsidRDefault="00503DF5">
      <w:r>
        <w:separator/>
      </w:r>
    </w:p>
  </w:footnote>
  <w:footnote w:type="continuationSeparator" w:id="0">
    <w:p w:rsidR="00503DF5" w:rsidRDefault="00503DF5"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503DF5" w:rsidRDefault="00503DF5" w:rsidP="00FF5F05">
    <w:pPr>
      <w:pStyle w:val="Header"/>
      <w:framePr w:wrap="around" w:vAnchor="text" w:hAnchor="margin" w:xAlign="center" w:y="1"/>
      <w:rPr>
        <w:rStyle w:val="PageNumber"/>
      </w:rPr>
    </w:pPr>
    <w:r>
      <w:rPr>
        <w:rStyle w:val="PageNumber"/>
      </w:rPr>
      <w:fldChar w:fldCharType="begin"/>
    </w:r>
    <w:r>
      <w:rPr>
        <w:rStyle w:val="PageNumber"/>
      </w:rPr>
      <w:instrText xml:space="preserve">PAGE  </w:instrText>
    </w:r>
    <w:r>
      <w:rPr>
        <w:rStyle w:val="PageNumber"/>
      </w:rPr>
      <w:fldChar w:fldCharType="separate"/>
    </w:r>
    <w:r>
      <w:rPr>
        <w:rStyle w:val="PageNumber"/>
        <w:noProof/>
      </w:rPr>
      <w:t>2</w:t>
    </w:r>
    <w:r>
      <w:rPr>
        <w:rStyle w:val="PageNumber"/>
      </w:rPr>
      <w:fldChar w:fldCharType="end"/>
    </w:r>
  </w:p>
  <w:p w:rsidR="00503DF5" w:rsidRDefault="00503DF5">
    <w:pPr>
      <w:pStyle w:val="Header"/>
    </w:pPr>
  </w:p>
</w:hdr>
</file>

<file path=word/header2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503DF5" w:rsidRDefault="00503DF5" w:rsidP="00FF5F05">
    <w:pPr>
      <w:pStyle w:val="Header"/>
      <w:framePr w:wrap="around" w:vAnchor="text" w:hAnchor="margin" w:xAlign="center" w:y="1"/>
      <w:rPr>
        <w:rStyle w:val="PageNumber"/>
      </w:rPr>
    </w:pPr>
    <w:r>
      <w:rPr>
        <w:rStyle w:val="PageNumber"/>
      </w:rPr>
      <w:fldChar w:fldCharType="begin"/>
    </w:r>
    <w:r>
      <w:rPr>
        <w:rStyle w:val="PageNumber"/>
      </w:rPr>
      <w:instrText xml:space="preserve">PAGE  </w:instrText>
    </w:r>
    <w:r>
      <w:rPr>
        <w:rStyle w:val="PageNumber"/>
      </w:rPr>
      <w:fldChar w:fldCharType="separate"/>
    </w:r>
    <w:r>
      <w:rPr>
        <w:rStyle w:val="PageNumber"/>
        <w:noProof/>
      </w:rPr>
      <w:t>2</w:t>
    </w:r>
    <w:r>
      <w:rPr>
        <w:rStyle w:val="PageNumber"/>
      </w:rPr>
      <w:fldChar w:fldCharType="end"/>
    </w:r>
  </w:p>
  <w:p w:rsidR="00503DF5" w:rsidRDefault="00503DF5">
    <w:pPr>
      <w:pStyle w:val="Header"/>
    </w:pP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10BC4122"/>
    <w:multiLevelType w:val="hybridMultilevel"/>
    <w:tmpl w:val="92787AC4"/>
    <w:lvl w:ilvl="0" w:tplc="F8662422">
      <w:start w:val="1"/>
      <w:numFmt w:val="decimal"/>
      <w:lvlText w:val="%1."/>
      <w:lvlJc w:val="left"/>
      <w:pPr>
        <w:tabs>
          <w:tab w:val="num" w:pos="1069"/>
        </w:tabs>
        <w:ind w:left="1069" w:hanging="360"/>
      </w:pPr>
      <w:rPr>
        <w:rFonts w:cs="Times New Roman"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789"/>
        </w:tabs>
        <w:ind w:left="1789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tabs>
          <w:tab w:val="num" w:pos="2509"/>
        </w:tabs>
        <w:ind w:left="2509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tabs>
          <w:tab w:val="num" w:pos="3229"/>
        </w:tabs>
        <w:ind w:left="3229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tabs>
          <w:tab w:val="num" w:pos="3949"/>
        </w:tabs>
        <w:ind w:left="3949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tabs>
          <w:tab w:val="num" w:pos="4669"/>
        </w:tabs>
        <w:ind w:left="4669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tabs>
          <w:tab w:val="num" w:pos="5389"/>
        </w:tabs>
        <w:ind w:left="5389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tabs>
          <w:tab w:val="num" w:pos="6109"/>
        </w:tabs>
        <w:ind w:left="6109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tabs>
          <w:tab w:val="num" w:pos="6829"/>
        </w:tabs>
        <w:ind w:left="6829" w:hanging="180"/>
      </w:pPr>
      <w:rPr>
        <w:rFonts w:cs="Times New Roman"/>
      </w:rPr>
    </w:lvl>
  </w:abstractNum>
  <w:abstractNum w:abstractNumId="1">
    <w:nsid w:val="12311459"/>
    <w:multiLevelType w:val="hybridMultilevel"/>
    <w:tmpl w:val="1F764150"/>
    <w:lvl w:ilvl="0" w:tplc="71C28B78">
      <w:numFmt w:val="bullet"/>
      <w:lvlText w:val="-"/>
      <w:lvlJc w:val="left"/>
      <w:pPr>
        <w:ind w:left="1069" w:hanging="360"/>
      </w:pPr>
      <w:rPr>
        <w:rFonts w:ascii="Times New Roman" w:eastAsia="Times New Roman" w:hAnsi="Times New Roman" w:hint="default"/>
      </w:rPr>
    </w:lvl>
    <w:lvl w:ilvl="1" w:tplc="04220003" w:tentative="1">
      <w:start w:val="1"/>
      <w:numFmt w:val="bullet"/>
      <w:lvlText w:val="o"/>
      <w:lvlJc w:val="left"/>
      <w:pPr>
        <w:ind w:left="1789" w:hanging="360"/>
      </w:pPr>
      <w:rPr>
        <w:rFonts w:ascii="Courier New" w:hAnsi="Courier New" w:hint="default"/>
      </w:rPr>
    </w:lvl>
    <w:lvl w:ilvl="2" w:tplc="04220005" w:tentative="1">
      <w:start w:val="1"/>
      <w:numFmt w:val="bullet"/>
      <w:lvlText w:val=""/>
      <w:lvlJc w:val="left"/>
      <w:pPr>
        <w:ind w:left="2509" w:hanging="360"/>
      </w:pPr>
      <w:rPr>
        <w:rFonts w:ascii="Wingdings" w:hAnsi="Wingdings" w:hint="default"/>
      </w:rPr>
    </w:lvl>
    <w:lvl w:ilvl="3" w:tplc="04220001" w:tentative="1">
      <w:start w:val="1"/>
      <w:numFmt w:val="bullet"/>
      <w:lvlText w:val=""/>
      <w:lvlJc w:val="left"/>
      <w:pPr>
        <w:ind w:left="3229" w:hanging="360"/>
      </w:pPr>
      <w:rPr>
        <w:rFonts w:ascii="Symbol" w:hAnsi="Symbol" w:hint="default"/>
      </w:rPr>
    </w:lvl>
    <w:lvl w:ilvl="4" w:tplc="04220003" w:tentative="1">
      <w:start w:val="1"/>
      <w:numFmt w:val="bullet"/>
      <w:lvlText w:val="o"/>
      <w:lvlJc w:val="left"/>
      <w:pPr>
        <w:ind w:left="3949" w:hanging="360"/>
      </w:pPr>
      <w:rPr>
        <w:rFonts w:ascii="Courier New" w:hAnsi="Courier New" w:hint="default"/>
      </w:rPr>
    </w:lvl>
    <w:lvl w:ilvl="5" w:tplc="04220005" w:tentative="1">
      <w:start w:val="1"/>
      <w:numFmt w:val="bullet"/>
      <w:lvlText w:val=""/>
      <w:lvlJc w:val="left"/>
      <w:pPr>
        <w:ind w:left="4669" w:hanging="360"/>
      </w:pPr>
      <w:rPr>
        <w:rFonts w:ascii="Wingdings" w:hAnsi="Wingdings" w:hint="default"/>
      </w:rPr>
    </w:lvl>
    <w:lvl w:ilvl="6" w:tplc="04220001" w:tentative="1">
      <w:start w:val="1"/>
      <w:numFmt w:val="bullet"/>
      <w:lvlText w:val=""/>
      <w:lvlJc w:val="left"/>
      <w:pPr>
        <w:ind w:left="5389" w:hanging="360"/>
      </w:pPr>
      <w:rPr>
        <w:rFonts w:ascii="Symbol" w:hAnsi="Symbol" w:hint="default"/>
      </w:rPr>
    </w:lvl>
    <w:lvl w:ilvl="7" w:tplc="04220003" w:tentative="1">
      <w:start w:val="1"/>
      <w:numFmt w:val="bullet"/>
      <w:lvlText w:val="o"/>
      <w:lvlJc w:val="left"/>
      <w:pPr>
        <w:ind w:left="6109" w:hanging="360"/>
      </w:pPr>
      <w:rPr>
        <w:rFonts w:ascii="Courier New" w:hAnsi="Courier New" w:hint="default"/>
      </w:rPr>
    </w:lvl>
    <w:lvl w:ilvl="8" w:tplc="04220005" w:tentative="1">
      <w:start w:val="1"/>
      <w:numFmt w:val="bullet"/>
      <w:lvlText w:val=""/>
      <w:lvlJc w:val="left"/>
      <w:pPr>
        <w:ind w:left="6829" w:hanging="360"/>
      </w:pPr>
      <w:rPr>
        <w:rFonts w:ascii="Wingdings" w:hAnsi="Wingdings" w:hint="default"/>
      </w:rPr>
    </w:lvl>
  </w:abstractNum>
  <w:num w:numId="1">
    <w:abstractNumId w:val="0"/>
  </w:num>
  <w:num w:numId="2">
    <w:abstractNumId w:val="1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embedSystemFonts/>
  <w:bordersDoNotSurroundHeader/>
  <w:bordersDoNotSurroundFooter/>
  <w:stylePaneFormatFilter w:val="3F01"/>
  <w:defaultTabStop w:val="708"/>
  <w:hyphenationZone w:val="425"/>
  <w:drawingGridHorizontalSpacing w:val="120"/>
  <w:drawingGridVerticalSpacing w:val="120"/>
  <w:displayHorizontalDrawingGridEvery w:val="0"/>
  <w:displayVerticalDrawingGridEvery w:val="3"/>
  <w:doNotUseMarginsForDrawingGridOrigin/>
  <w:doNotShadeFormData/>
  <w:characterSpacingControl w:val="compressPunctuation"/>
  <w:doNotValidateAgainstSchema/>
  <w:doNotDemarcateInvalidXml/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w:docVars>
    <w:docVar w:name="ColorPos" w:val="-1"/>
    <w:docVar w:name="ColorSet" w:val="-1"/>
    <w:docVar w:name="StylePos" w:val="-1"/>
    <w:docVar w:name="StyleSet" w:val="-1"/>
  </w:docVars>
  <w:rsids>
    <w:rsidRoot w:val="00FF6D34"/>
    <w:rsid w:val="000629DA"/>
    <w:rsid w:val="00072A04"/>
    <w:rsid w:val="000A157E"/>
    <w:rsid w:val="000E2DDC"/>
    <w:rsid w:val="000F085A"/>
    <w:rsid w:val="000F1628"/>
    <w:rsid w:val="00101F20"/>
    <w:rsid w:val="00115B19"/>
    <w:rsid w:val="00135AE7"/>
    <w:rsid w:val="001764B9"/>
    <w:rsid w:val="001B7C46"/>
    <w:rsid w:val="001C30BA"/>
    <w:rsid w:val="00203192"/>
    <w:rsid w:val="002257CF"/>
    <w:rsid w:val="00232829"/>
    <w:rsid w:val="00241E6D"/>
    <w:rsid w:val="002934BE"/>
    <w:rsid w:val="002A260A"/>
    <w:rsid w:val="002A3DA4"/>
    <w:rsid w:val="002B6778"/>
    <w:rsid w:val="002D37FF"/>
    <w:rsid w:val="002D47ED"/>
    <w:rsid w:val="002F4B56"/>
    <w:rsid w:val="002F5B9E"/>
    <w:rsid w:val="002F7102"/>
    <w:rsid w:val="00303D71"/>
    <w:rsid w:val="00337BEB"/>
    <w:rsid w:val="003763D9"/>
    <w:rsid w:val="00386B71"/>
    <w:rsid w:val="00395173"/>
    <w:rsid w:val="003966BD"/>
    <w:rsid w:val="003A668C"/>
    <w:rsid w:val="003B2197"/>
    <w:rsid w:val="003D0377"/>
    <w:rsid w:val="003D4373"/>
    <w:rsid w:val="003D55D3"/>
    <w:rsid w:val="003E0090"/>
    <w:rsid w:val="003F1F0A"/>
    <w:rsid w:val="00403280"/>
    <w:rsid w:val="004438E8"/>
    <w:rsid w:val="00462437"/>
    <w:rsid w:val="00483C6B"/>
    <w:rsid w:val="004A38F3"/>
    <w:rsid w:val="004B7826"/>
    <w:rsid w:val="004D1A16"/>
    <w:rsid w:val="004F4AFF"/>
    <w:rsid w:val="00503DF5"/>
    <w:rsid w:val="00525721"/>
    <w:rsid w:val="00547FC3"/>
    <w:rsid w:val="005776A4"/>
    <w:rsid w:val="00591D3C"/>
    <w:rsid w:val="005C2A21"/>
    <w:rsid w:val="005C367E"/>
    <w:rsid w:val="005E1D2E"/>
    <w:rsid w:val="005E77F0"/>
    <w:rsid w:val="00642F14"/>
    <w:rsid w:val="006503EC"/>
    <w:rsid w:val="00682709"/>
    <w:rsid w:val="006857BA"/>
    <w:rsid w:val="0074731A"/>
    <w:rsid w:val="00773B2C"/>
    <w:rsid w:val="007900F4"/>
    <w:rsid w:val="00794F9C"/>
    <w:rsid w:val="007B6838"/>
    <w:rsid w:val="007C2522"/>
    <w:rsid w:val="007E2839"/>
    <w:rsid w:val="00833992"/>
    <w:rsid w:val="0085316A"/>
    <w:rsid w:val="00877BA7"/>
    <w:rsid w:val="00884877"/>
    <w:rsid w:val="008D09B7"/>
    <w:rsid w:val="008D13CA"/>
    <w:rsid w:val="008F160C"/>
    <w:rsid w:val="00901DC5"/>
    <w:rsid w:val="00912E77"/>
    <w:rsid w:val="00913E78"/>
    <w:rsid w:val="00946888"/>
    <w:rsid w:val="00960E6A"/>
    <w:rsid w:val="0099786A"/>
    <w:rsid w:val="009C0EBF"/>
    <w:rsid w:val="00A25B8B"/>
    <w:rsid w:val="00A40547"/>
    <w:rsid w:val="00A473C0"/>
    <w:rsid w:val="00A558B6"/>
    <w:rsid w:val="00A62842"/>
    <w:rsid w:val="00A6557C"/>
    <w:rsid w:val="00A81B03"/>
    <w:rsid w:val="00AA118B"/>
    <w:rsid w:val="00AD6F44"/>
    <w:rsid w:val="00AF1C6A"/>
    <w:rsid w:val="00AF1D40"/>
    <w:rsid w:val="00B3279C"/>
    <w:rsid w:val="00B3391B"/>
    <w:rsid w:val="00B34E03"/>
    <w:rsid w:val="00B5709C"/>
    <w:rsid w:val="00B87972"/>
    <w:rsid w:val="00BD5CF0"/>
    <w:rsid w:val="00BE5C03"/>
    <w:rsid w:val="00C31CC4"/>
    <w:rsid w:val="00C8578E"/>
    <w:rsid w:val="00CA3DFB"/>
    <w:rsid w:val="00CA4423"/>
    <w:rsid w:val="00CA4632"/>
    <w:rsid w:val="00CC6D15"/>
    <w:rsid w:val="00D152B3"/>
    <w:rsid w:val="00D21092"/>
    <w:rsid w:val="00D54C4B"/>
    <w:rsid w:val="00D63AB7"/>
    <w:rsid w:val="00D70BE0"/>
    <w:rsid w:val="00D74789"/>
    <w:rsid w:val="00D75DFB"/>
    <w:rsid w:val="00D923FC"/>
    <w:rsid w:val="00D94B3B"/>
    <w:rsid w:val="00DA6AE9"/>
    <w:rsid w:val="00DB07A5"/>
    <w:rsid w:val="00DC30D6"/>
    <w:rsid w:val="00DC4A7D"/>
    <w:rsid w:val="00DC662F"/>
    <w:rsid w:val="00E22425"/>
    <w:rsid w:val="00E84C26"/>
    <w:rsid w:val="00E92C75"/>
    <w:rsid w:val="00EB5B57"/>
    <w:rsid w:val="00EC08C7"/>
    <w:rsid w:val="00F05382"/>
    <w:rsid w:val="00F31ADA"/>
    <w:rsid w:val="00F348CD"/>
    <w:rsid w:val="00F35592"/>
    <w:rsid w:val="00F365F8"/>
    <w:rsid w:val="00F54A3D"/>
    <w:rsid w:val="00F6061B"/>
    <w:rsid w:val="00F760AB"/>
    <w:rsid w:val="00FB6E75"/>
    <w:rsid w:val="00FC0A78"/>
    <w:rsid w:val="00FC7F1F"/>
    <w:rsid w:val="00FD2ADF"/>
    <w:rsid w:val="00FD6E49"/>
    <w:rsid w:val="00FF5F05"/>
    <w:rsid w:val="00FF6D34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uk-UA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sz w:val="22"/>
        <w:szCs w:val="22"/>
        <w:lang w:val="uk-UA" w:eastAsia="uk-UA" w:bidi="ar-SA"/>
      </w:rPr>
    </w:rPrDefault>
    <w:pPrDefault/>
  </w:docDefaults>
  <w:latentStyles w:defLockedState="1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locked="0" w:unhideWhenUsed="0"/>
    <w:lsdException w:name="No Spacing" w:locked="0" w:semiHidden="0" w:uiPriority="1" w:unhideWhenUsed="0" w:qFormat="1"/>
    <w:lsdException w:name="Light Shading" w:locked="0" w:semiHidden="0" w:uiPriority="60" w:unhideWhenUsed="0"/>
    <w:lsdException w:name="Light List" w:locked="0" w:semiHidden="0" w:uiPriority="61" w:unhideWhenUsed="0"/>
    <w:lsdException w:name="Light Grid" w:locked="0" w:semiHidden="0" w:uiPriority="62" w:unhideWhenUsed="0"/>
    <w:lsdException w:name="Medium Shading 1" w:locked="0" w:semiHidden="0" w:uiPriority="63" w:unhideWhenUsed="0"/>
    <w:lsdException w:name="Medium Shading 2" w:locked="0" w:semiHidden="0" w:uiPriority="64" w:unhideWhenUsed="0"/>
    <w:lsdException w:name="Medium List 1" w:locked="0" w:semiHidden="0" w:uiPriority="65" w:unhideWhenUsed="0"/>
    <w:lsdException w:name="Medium List 2" w:locked="0" w:semiHidden="0" w:uiPriority="66" w:unhideWhenUsed="0"/>
    <w:lsdException w:name="Medium Grid 1" w:locked="0" w:semiHidden="0" w:uiPriority="67" w:unhideWhenUsed="0"/>
    <w:lsdException w:name="Medium Grid 2" w:locked="0" w:semiHidden="0" w:uiPriority="68" w:unhideWhenUsed="0"/>
    <w:lsdException w:name="Medium Grid 3" w:locked="0" w:semiHidden="0" w:uiPriority="69" w:unhideWhenUsed="0"/>
    <w:lsdException w:name="Dark List" w:locked="0" w:semiHidden="0" w:uiPriority="70" w:unhideWhenUsed="0"/>
    <w:lsdException w:name="Colorful Shading" w:locked="0" w:semiHidden="0" w:uiPriority="71" w:unhideWhenUsed="0"/>
    <w:lsdException w:name="Colorful List" w:locked="0" w:semiHidden="0" w:uiPriority="72" w:unhideWhenUsed="0"/>
    <w:lsdException w:name="Colorful Grid" w:locked="0" w:semiHidden="0" w:uiPriority="73" w:unhideWhenUsed="0"/>
    <w:lsdException w:name="Light Shading Accent 1" w:locked="0" w:semiHidden="0" w:uiPriority="60" w:unhideWhenUsed="0"/>
    <w:lsdException w:name="Light List Accent 1" w:locked="0" w:semiHidden="0" w:uiPriority="61" w:unhideWhenUsed="0"/>
    <w:lsdException w:name="Light Grid Accent 1" w:locked="0" w:semiHidden="0" w:uiPriority="62" w:unhideWhenUsed="0"/>
    <w:lsdException w:name="Medium Shading 1 Accent 1" w:locked="0" w:semiHidden="0" w:uiPriority="63" w:unhideWhenUsed="0"/>
    <w:lsdException w:name="Medium Shading 2 Accent 1" w:locked="0" w:semiHidden="0" w:uiPriority="64" w:unhideWhenUsed="0"/>
    <w:lsdException w:name="Medium List 1 Accent 1" w:locked="0" w:semiHidden="0" w:uiPriority="65" w:unhideWhenUsed="0"/>
    <w:lsdException w:name="Revision" w:locked="0" w:unhideWhenUsed="0"/>
    <w:lsdException w:name="List Paragraph" w:locked="0" w:semiHidden="0" w:uiPriority="34" w:unhideWhenUsed="0" w:qFormat="1"/>
    <w:lsdException w:name="Quote" w:locked="0" w:semiHidden="0" w:uiPriority="29" w:unhideWhenUsed="0" w:qFormat="1"/>
    <w:lsdException w:name="Intense Quote" w:locked="0" w:semiHidden="0" w:uiPriority="30" w:unhideWhenUsed="0" w:qFormat="1"/>
    <w:lsdException w:name="Medium List 2 Accent 1" w:locked="0" w:semiHidden="0" w:uiPriority="66" w:unhideWhenUsed="0"/>
    <w:lsdException w:name="Medium Grid 1 Accent 1" w:locked="0" w:semiHidden="0" w:uiPriority="67" w:unhideWhenUsed="0"/>
    <w:lsdException w:name="Medium Grid 2 Accent 1" w:locked="0" w:semiHidden="0" w:uiPriority="68" w:unhideWhenUsed="0"/>
    <w:lsdException w:name="Medium Grid 3 Accent 1" w:locked="0" w:semiHidden="0" w:uiPriority="69" w:unhideWhenUsed="0"/>
    <w:lsdException w:name="Dark List Accent 1" w:locked="0" w:semiHidden="0" w:uiPriority="70" w:unhideWhenUsed="0"/>
    <w:lsdException w:name="Colorful Shading Accent 1" w:locked="0" w:semiHidden="0" w:uiPriority="71" w:unhideWhenUsed="0"/>
    <w:lsdException w:name="Colorful List Accent 1" w:locked="0" w:semiHidden="0" w:uiPriority="72" w:unhideWhenUsed="0"/>
    <w:lsdException w:name="Colorful Grid Accent 1" w:locked="0" w:semiHidden="0" w:uiPriority="73" w:unhideWhenUsed="0"/>
    <w:lsdException w:name="Light Shading Accent 2" w:locked="0" w:semiHidden="0" w:uiPriority="60" w:unhideWhenUsed="0"/>
    <w:lsdException w:name="Light List Accent 2" w:locked="0" w:semiHidden="0" w:uiPriority="61" w:unhideWhenUsed="0"/>
    <w:lsdException w:name="Light Grid Accent 2" w:locked="0" w:semiHidden="0" w:uiPriority="62" w:unhideWhenUsed="0"/>
    <w:lsdException w:name="Medium Shading 1 Accent 2" w:locked="0" w:semiHidden="0" w:uiPriority="63" w:unhideWhenUsed="0"/>
    <w:lsdException w:name="Medium Shading 2 Accent 2" w:locked="0" w:semiHidden="0" w:uiPriority="64" w:unhideWhenUsed="0"/>
    <w:lsdException w:name="Medium List 1 Accent 2" w:locked="0" w:semiHidden="0" w:uiPriority="65" w:unhideWhenUsed="0"/>
    <w:lsdException w:name="Medium List 2 Accent 2" w:locked="0" w:semiHidden="0" w:uiPriority="66" w:unhideWhenUsed="0"/>
    <w:lsdException w:name="Medium Grid 1 Accent 2" w:locked="0" w:semiHidden="0" w:uiPriority="67" w:unhideWhenUsed="0"/>
    <w:lsdException w:name="Medium Grid 2 Accent 2" w:locked="0" w:semiHidden="0" w:uiPriority="68" w:unhideWhenUsed="0"/>
    <w:lsdException w:name="Medium Grid 3 Accent 2" w:locked="0" w:semiHidden="0" w:uiPriority="69" w:unhideWhenUsed="0"/>
    <w:lsdException w:name="Dark List Accent 2" w:locked="0" w:semiHidden="0" w:uiPriority="70" w:unhideWhenUsed="0"/>
    <w:lsdException w:name="Colorful Shading Accent 2" w:locked="0" w:semiHidden="0" w:uiPriority="71" w:unhideWhenUsed="0"/>
    <w:lsdException w:name="Colorful List Accent 2" w:locked="0" w:semiHidden="0" w:uiPriority="72" w:unhideWhenUsed="0"/>
    <w:lsdException w:name="Colorful Grid Accent 2" w:locked="0" w:semiHidden="0" w:uiPriority="73" w:unhideWhenUsed="0"/>
    <w:lsdException w:name="Light Shading Accent 3" w:locked="0" w:semiHidden="0" w:uiPriority="60" w:unhideWhenUsed="0"/>
    <w:lsdException w:name="Light List Accent 3" w:locked="0" w:semiHidden="0" w:uiPriority="61" w:unhideWhenUsed="0"/>
    <w:lsdException w:name="Light Grid Accent 3" w:locked="0" w:semiHidden="0" w:uiPriority="62" w:unhideWhenUsed="0"/>
    <w:lsdException w:name="Medium Shading 1 Accent 3" w:locked="0" w:semiHidden="0" w:uiPriority="63" w:unhideWhenUsed="0"/>
    <w:lsdException w:name="Medium Shading 2 Accent 3" w:locked="0" w:semiHidden="0" w:uiPriority="64" w:unhideWhenUsed="0"/>
    <w:lsdException w:name="Medium List 1 Accent 3" w:locked="0" w:semiHidden="0" w:uiPriority="65" w:unhideWhenUsed="0"/>
    <w:lsdException w:name="Medium List 2 Accent 3" w:locked="0" w:semiHidden="0" w:uiPriority="66" w:unhideWhenUsed="0"/>
    <w:lsdException w:name="Medium Grid 1 Accent 3" w:locked="0" w:semiHidden="0" w:uiPriority="67" w:unhideWhenUsed="0"/>
    <w:lsdException w:name="Medium Grid 2 Accent 3" w:locked="0" w:semiHidden="0" w:uiPriority="68" w:unhideWhenUsed="0"/>
    <w:lsdException w:name="Medium Grid 3 Accent 3" w:locked="0" w:semiHidden="0" w:uiPriority="69" w:unhideWhenUsed="0"/>
    <w:lsdException w:name="Dark List Accent 3" w:locked="0" w:semiHidden="0" w:uiPriority="70" w:unhideWhenUsed="0"/>
    <w:lsdException w:name="Colorful Shading Accent 3" w:locked="0" w:semiHidden="0" w:uiPriority="71" w:unhideWhenUsed="0"/>
    <w:lsdException w:name="Colorful List Accent 3" w:locked="0" w:semiHidden="0" w:uiPriority="72" w:unhideWhenUsed="0"/>
    <w:lsdException w:name="Colorful Grid Accent 3" w:locked="0" w:semiHidden="0" w:uiPriority="73" w:unhideWhenUsed="0"/>
    <w:lsdException w:name="Light Shading Accent 4" w:locked="0" w:semiHidden="0" w:uiPriority="60" w:unhideWhenUsed="0"/>
    <w:lsdException w:name="Light List Accent 4" w:locked="0" w:semiHidden="0" w:uiPriority="61" w:unhideWhenUsed="0"/>
    <w:lsdException w:name="Light Grid Accent 4" w:locked="0" w:semiHidden="0" w:uiPriority="62" w:unhideWhenUsed="0"/>
    <w:lsdException w:name="Medium Shading 1 Accent 4" w:locked="0" w:semiHidden="0" w:uiPriority="63" w:unhideWhenUsed="0"/>
    <w:lsdException w:name="Medium Shading 2 Accent 4" w:locked="0" w:semiHidden="0" w:uiPriority="64" w:unhideWhenUsed="0"/>
    <w:lsdException w:name="Medium List 1 Accent 4" w:locked="0" w:semiHidden="0" w:uiPriority="65" w:unhideWhenUsed="0"/>
    <w:lsdException w:name="Medium List 2 Accent 4" w:locked="0" w:semiHidden="0" w:uiPriority="66" w:unhideWhenUsed="0"/>
    <w:lsdException w:name="Medium Grid 1 Accent 4" w:locked="0" w:semiHidden="0" w:uiPriority="67" w:unhideWhenUsed="0"/>
    <w:lsdException w:name="Medium Grid 2 Accent 4" w:locked="0" w:semiHidden="0" w:uiPriority="68" w:unhideWhenUsed="0"/>
    <w:lsdException w:name="Medium Grid 3 Accent 4" w:locked="0" w:semiHidden="0" w:uiPriority="69" w:unhideWhenUsed="0"/>
    <w:lsdException w:name="Dark List Accent 4" w:locked="0" w:semiHidden="0" w:uiPriority="70" w:unhideWhenUsed="0"/>
    <w:lsdException w:name="Colorful Shading Accent 4" w:locked="0" w:semiHidden="0" w:uiPriority="71" w:unhideWhenUsed="0"/>
    <w:lsdException w:name="Colorful List Accent 4" w:locked="0" w:semiHidden="0" w:uiPriority="72" w:unhideWhenUsed="0"/>
    <w:lsdException w:name="Colorful Grid Accent 4" w:locked="0" w:semiHidden="0" w:uiPriority="73" w:unhideWhenUsed="0"/>
    <w:lsdException w:name="Light Shading Accent 5" w:locked="0" w:semiHidden="0" w:uiPriority="60" w:unhideWhenUsed="0"/>
    <w:lsdException w:name="Light List Accent 5" w:locked="0" w:semiHidden="0" w:uiPriority="61" w:unhideWhenUsed="0"/>
    <w:lsdException w:name="Light Grid Accent 5" w:locked="0" w:semiHidden="0" w:uiPriority="62" w:unhideWhenUsed="0"/>
    <w:lsdException w:name="Medium Shading 1 Accent 5" w:locked="0" w:semiHidden="0" w:uiPriority="63" w:unhideWhenUsed="0"/>
    <w:lsdException w:name="Medium Shading 2 Accent 5" w:locked="0" w:semiHidden="0" w:uiPriority="64" w:unhideWhenUsed="0"/>
    <w:lsdException w:name="Medium List 1 Accent 5" w:locked="0" w:semiHidden="0" w:uiPriority="65" w:unhideWhenUsed="0"/>
    <w:lsdException w:name="Medium List 2 Accent 5" w:locked="0" w:semiHidden="0" w:uiPriority="66" w:unhideWhenUsed="0"/>
    <w:lsdException w:name="Medium Grid 1 Accent 5" w:locked="0" w:semiHidden="0" w:uiPriority="67" w:unhideWhenUsed="0"/>
    <w:lsdException w:name="Medium Grid 2 Accent 5" w:locked="0" w:semiHidden="0" w:uiPriority="68" w:unhideWhenUsed="0"/>
    <w:lsdException w:name="Medium Grid 3 Accent 5" w:locked="0" w:semiHidden="0" w:uiPriority="69" w:unhideWhenUsed="0"/>
    <w:lsdException w:name="Dark List Accent 5" w:locked="0" w:semiHidden="0" w:uiPriority="70" w:unhideWhenUsed="0"/>
    <w:lsdException w:name="Colorful Shading Accent 5" w:locked="0" w:semiHidden="0" w:uiPriority="71" w:unhideWhenUsed="0"/>
    <w:lsdException w:name="Colorful List Accent 5" w:locked="0" w:semiHidden="0" w:uiPriority="72" w:unhideWhenUsed="0"/>
    <w:lsdException w:name="Colorful Grid Accent 5" w:locked="0" w:semiHidden="0" w:uiPriority="73" w:unhideWhenUsed="0"/>
    <w:lsdException w:name="Light Shading Accent 6" w:locked="0" w:semiHidden="0" w:uiPriority="60" w:unhideWhenUsed="0"/>
    <w:lsdException w:name="Light List Accent 6" w:locked="0" w:semiHidden="0" w:uiPriority="61" w:unhideWhenUsed="0"/>
    <w:lsdException w:name="Light Grid Accent 6" w:locked="0" w:semiHidden="0" w:uiPriority="62" w:unhideWhenUsed="0"/>
    <w:lsdException w:name="Medium Shading 1 Accent 6" w:locked="0" w:semiHidden="0" w:uiPriority="63" w:unhideWhenUsed="0"/>
    <w:lsdException w:name="Medium Shading 2 Accent 6" w:locked="0" w:semiHidden="0" w:uiPriority="64" w:unhideWhenUsed="0"/>
    <w:lsdException w:name="Medium List 1 Accent 6" w:locked="0" w:semiHidden="0" w:uiPriority="65" w:unhideWhenUsed="0"/>
    <w:lsdException w:name="Medium List 2 Accent 6" w:locked="0" w:semiHidden="0" w:uiPriority="66" w:unhideWhenUsed="0"/>
    <w:lsdException w:name="Medium Grid 1 Accent 6" w:locked="0" w:semiHidden="0" w:uiPriority="67" w:unhideWhenUsed="0"/>
    <w:lsdException w:name="Medium Grid 2 Accent 6" w:locked="0" w:semiHidden="0" w:uiPriority="68" w:unhideWhenUsed="0"/>
    <w:lsdException w:name="Medium Grid 3 Accent 6" w:locked="0" w:semiHidden="0" w:uiPriority="69" w:unhideWhenUsed="0"/>
    <w:lsdException w:name="Dark List Accent 6" w:locked="0" w:semiHidden="0" w:uiPriority="70" w:unhideWhenUsed="0"/>
    <w:lsdException w:name="Colorful Shading Accent 6" w:locked="0" w:semiHidden="0" w:uiPriority="71" w:unhideWhenUsed="0"/>
    <w:lsdException w:name="Colorful List Accent 6" w:locked="0" w:semiHidden="0" w:uiPriority="72" w:unhideWhenUsed="0"/>
    <w:lsdException w:name="Colorful Grid Accent 6" w:locked="0" w:semiHidden="0" w:uiPriority="73" w:unhideWhenUsed="0"/>
    <w:lsdException w:name="Subtle Emphasis" w:locked="0" w:semiHidden="0" w:uiPriority="19" w:unhideWhenUsed="0" w:qFormat="1"/>
    <w:lsdException w:name="Intense Emphasis" w:locked="0" w:semiHidden="0" w:uiPriority="21" w:unhideWhenUsed="0" w:qFormat="1"/>
    <w:lsdException w:name="Subtle Reference" w:locked="0" w:semiHidden="0" w:uiPriority="31" w:unhideWhenUsed="0" w:qFormat="1"/>
    <w:lsdException w:name="Intense Reference" w:locked="0" w:semiHidden="0" w:uiPriority="32" w:unhideWhenUsed="0" w:qFormat="1"/>
    <w:lsdException w:name="Book Title" w:locked="0" w:semiHidden="0" w:uiPriority="33" w:unhideWhenUsed="0" w:qFormat="1"/>
    <w:lsdException w:name="Bibliography" w:locked="0" w:uiPriority="37"/>
    <w:lsdException w:name="TOC Heading" w:locked="0" w:uiPriority="39" w:qFormat="1"/>
  </w:latentStyles>
  <w:style w:type="paragraph" w:default="1" w:styleId="Normal">
    <w:name w:val="Normal"/>
    <w:qFormat/>
    <w:rsid w:val="00AD6F44"/>
    <w:pPr>
      <w:widowControl w:val="0"/>
      <w:overflowPunct w:val="0"/>
      <w:adjustRightInd w:val="0"/>
    </w:pPr>
    <w:rPr>
      <w:kern w:val="28"/>
      <w:sz w:val="28"/>
      <w:szCs w:val="28"/>
    </w:rPr>
  </w:style>
  <w:style w:type="character" w:default="1" w:styleId="DefaultParagraphFont">
    <w:name w:val="Default Paragraph Font"/>
    <w:uiPriority w:val="99"/>
    <w:semiHidden/>
  </w:style>
  <w:style w:type="table" w:default="1" w:styleId="Table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Header">
    <w:name w:val="header"/>
    <w:basedOn w:val="Normal"/>
    <w:link w:val="HeaderChar"/>
    <w:uiPriority w:val="99"/>
    <w:rsid w:val="00FF6D34"/>
    <w:pPr>
      <w:tabs>
        <w:tab w:val="center" w:pos="4819"/>
        <w:tab w:val="right" w:pos="9639"/>
      </w:tabs>
    </w:pPr>
  </w:style>
  <w:style w:type="character" w:customStyle="1" w:styleId="HeaderChar">
    <w:name w:val="Header Char"/>
    <w:basedOn w:val="DefaultParagraphFont"/>
    <w:link w:val="Header"/>
    <w:uiPriority w:val="99"/>
    <w:semiHidden/>
    <w:locked/>
    <w:rsid w:val="00AD6F44"/>
    <w:rPr>
      <w:rFonts w:cs="Times New Roman"/>
      <w:kern w:val="28"/>
      <w:sz w:val="28"/>
      <w:szCs w:val="28"/>
    </w:rPr>
  </w:style>
  <w:style w:type="character" w:styleId="Hyperlink">
    <w:name w:val="Hyperlink"/>
    <w:basedOn w:val="DefaultParagraphFont"/>
    <w:uiPriority w:val="99"/>
    <w:rsid w:val="00960E6A"/>
    <w:rPr>
      <w:rFonts w:cs="Times New Roman"/>
      <w:color w:val="0000FF"/>
      <w:u w:val="single"/>
    </w:rPr>
  </w:style>
  <w:style w:type="paragraph" w:styleId="FootnoteText">
    <w:name w:val="footnote text"/>
    <w:basedOn w:val="Normal"/>
    <w:link w:val="FootnoteTextChar"/>
    <w:uiPriority w:val="99"/>
    <w:semiHidden/>
    <w:rsid w:val="00960E6A"/>
    <w:pPr>
      <w:widowControl/>
      <w:overflowPunct/>
      <w:adjustRightInd/>
    </w:pPr>
    <w:rPr>
      <w:kern w:val="0"/>
      <w:sz w:val="20"/>
      <w:szCs w:val="20"/>
      <w:lang w:val="en-US" w:eastAsia="ru-RU"/>
    </w:rPr>
  </w:style>
  <w:style w:type="character" w:customStyle="1" w:styleId="FootnoteTextChar">
    <w:name w:val="Footnote Text Char"/>
    <w:basedOn w:val="DefaultParagraphFont"/>
    <w:link w:val="FootnoteText"/>
    <w:uiPriority w:val="99"/>
    <w:semiHidden/>
    <w:locked/>
    <w:rsid w:val="00AD6F44"/>
    <w:rPr>
      <w:rFonts w:cs="Times New Roman"/>
      <w:kern w:val="28"/>
      <w:sz w:val="20"/>
      <w:szCs w:val="20"/>
    </w:rPr>
  </w:style>
  <w:style w:type="character" w:styleId="PageNumber">
    <w:name w:val="page number"/>
    <w:basedOn w:val="DefaultParagraphFont"/>
    <w:uiPriority w:val="99"/>
    <w:rsid w:val="00115B19"/>
    <w:rPr>
      <w:rFonts w:cs="Times New Roman"/>
    </w:rPr>
  </w:style>
  <w:style w:type="paragraph" w:styleId="Footer">
    <w:name w:val="footer"/>
    <w:basedOn w:val="Normal"/>
    <w:link w:val="FooterChar"/>
    <w:uiPriority w:val="99"/>
    <w:rsid w:val="00FF6D34"/>
    <w:pPr>
      <w:tabs>
        <w:tab w:val="center" w:pos="4819"/>
        <w:tab w:val="right" w:pos="9639"/>
      </w:tabs>
    </w:pPr>
  </w:style>
  <w:style w:type="character" w:customStyle="1" w:styleId="FooterChar">
    <w:name w:val="Footer Char"/>
    <w:basedOn w:val="DefaultParagraphFont"/>
    <w:link w:val="Footer"/>
    <w:uiPriority w:val="99"/>
    <w:semiHidden/>
    <w:locked/>
    <w:rsid w:val="00AD6F44"/>
    <w:rPr>
      <w:rFonts w:cs="Times New Roman"/>
      <w:kern w:val="28"/>
      <w:sz w:val="28"/>
      <w:szCs w:val="28"/>
    </w:rPr>
  </w:style>
  <w:style w:type="character" w:styleId="FootnoteReference">
    <w:name w:val="footnote reference"/>
    <w:basedOn w:val="DefaultParagraphFont"/>
    <w:uiPriority w:val="99"/>
    <w:semiHidden/>
    <w:rsid w:val="00960E6A"/>
    <w:rPr>
      <w:rFonts w:cs="Times New Roman"/>
      <w:vertAlign w:val="superscript"/>
    </w:rPr>
  </w:style>
  <w:style w:type="paragraph" w:styleId="BalloonText">
    <w:name w:val="Balloon Text"/>
    <w:basedOn w:val="Normal"/>
    <w:link w:val="BalloonTextChar"/>
    <w:uiPriority w:val="99"/>
    <w:semiHidden/>
    <w:rsid w:val="00232829"/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locked/>
    <w:rsid w:val="00AD6F44"/>
    <w:rPr>
      <w:rFonts w:ascii="Tahoma" w:hAnsi="Tahoma" w:cs="Tahoma"/>
      <w:kern w:val="28"/>
      <w:sz w:val="16"/>
      <w:szCs w:val="16"/>
    </w:rPr>
  </w:style>
  <w:style w:type="character" w:customStyle="1" w:styleId="HTMLPreformattedChar">
    <w:name w:val="HTML Preformatted Char"/>
    <w:link w:val="HTMLPreformatted"/>
    <w:uiPriority w:val="99"/>
    <w:semiHidden/>
    <w:locked/>
    <w:rsid w:val="00337BEB"/>
    <w:rPr>
      <w:rFonts w:ascii="Courier New" w:hAnsi="Courier New" w:cs="Courier New"/>
      <w:sz w:val="20"/>
      <w:szCs w:val="20"/>
    </w:rPr>
  </w:style>
  <w:style w:type="paragraph" w:styleId="NormalWeb">
    <w:name w:val="Normal (Web)"/>
    <w:basedOn w:val="Normal"/>
    <w:uiPriority w:val="99"/>
    <w:semiHidden/>
    <w:rsid w:val="002F5B9E"/>
    <w:pPr>
      <w:widowControl/>
      <w:overflowPunct/>
      <w:adjustRightInd/>
      <w:spacing w:before="100" w:beforeAutospacing="1" w:after="100" w:afterAutospacing="1"/>
    </w:pPr>
    <w:rPr>
      <w:kern w:val="0"/>
      <w:sz w:val="24"/>
      <w:szCs w:val="24"/>
    </w:rPr>
  </w:style>
  <w:style w:type="paragraph" w:styleId="HTMLPreformatted">
    <w:name w:val="HTML Preformatted"/>
    <w:basedOn w:val="Normal"/>
    <w:link w:val="HTMLPreformattedChar1"/>
    <w:uiPriority w:val="99"/>
    <w:semiHidden/>
    <w:rsid w:val="00337BEB"/>
    <w:pPr>
      <w:widowControl/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  <w:overflowPunct/>
      <w:adjustRightInd/>
    </w:pPr>
    <w:rPr>
      <w:rFonts w:ascii="Courier New" w:hAnsi="Courier New" w:cs="Courier New"/>
      <w:kern w:val="0"/>
      <w:sz w:val="20"/>
      <w:szCs w:val="20"/>
    </w:rPr>
  </w:style>
  <w:style w:type="character" w:customStyle="1" w:styleId="HTMLPreformattedChar1">
    <w:name w:val="HTML Preformatted Char1"/>
    <w:basedOn w:val="DefaultParagraphFont"/>
    <w:link w:val="HTMLPreformatted"/>
    <w:uiPriority w:val="99"/>
    <w:semiHidden/>
    <w:locked/>
    <w:rPr>
      <w:rFonts w:ascii="Courier New" w:hAnsi="Courier New" w:cs="Courier New"/>
      <w:kern w:val="28"/>
      <w:sz w:val="20"/>
      <w:szCs w:val="20"/>
    </w:rPr>
  </w:style>
  <w:style w:type="character" w:customStyle="1" w:styleId="HTML">
    <w:name w:val="Стандартный HTML Знак"/>
    <w:basedOn w:val="DefaultParagraphFont"/>
    <w:uiPriority w:val="99"/>
    <w:semiHidden/>
    <w:rsid w:val="00AD6F44"/>
    <w:rPr>
      <w:rFonts w:ascii="Courier New" w:hAnsi="Courier New" w:cs="Courier New"/>
      <w:kern w:val="28"/>
      <w:sz w:val="20"/>
      <w:szCs w:val="20"/>
    </w:rPr>
  </w:style>
  <w:style w:type="character" w:customStyle="1" w:styleId="HTML4">
    <w:name w:val="Стандартный HTML Знак4"/>
    <w:basedOn w:val="DefaultParagraphFont"/>
    <w:uiPriority w:val="99"/>
    <w:semiHidden/>
    <w:rsid w:val="00AD6F44"/>
    <w:rPr>
      <w:rFonts w:ascii="Courier New" w:hAnsi="Courier New" w:cs="Courier New"/>
      <w:kern w:val="28"/>
      <w:sz w:val="20"/>
      <w:szCs w:val="20"/>
    </w:rPr>
  </w:style>
  <w:style w:type="character" w:customStyle="1" w:styleId="HTML3">
    <w:name w:val="Стандартный HTML Знак3"/>
    <w:basedOn w:val="DefaultParagraphFont"/>
    <w:uiPriority w:val="99"/>
    <w:semiHidden/>
    <w:rsid w:val="00AD6F44"/>
    <w:rPr>
      <w:rFonts w:ascii="Courier New" w:hAnsi="Courier New" w:cs="Courier New"/>
      <w:kern w:val="28"/>
      <w:sz w:val="20"/>
      <w:szCs w:val="20"/>
    </w:rPr>
  </w:style>
  <w:style w:type="character" w:customStyle="1" w:styleId="HTML2">
    <w:name w:val="Стандартный HTML Знак2"/>
    <w:basedOn w:val="DefaultParagraphFont"/>
    <w:uiPriority w:val="99"/>
    <w:semiHidden/>
    <w:rsid w:val="00AD6F44"/>
    <w:rPr>
      <w:rFonts w:ascii="Courier New" w:hAnsi="Courier New" w:cs="Courier New"/>
      <w:kern w:val="28"/>
      <w:sz w:val="20"/>
      <w:szCs w:val="20"/>
    </w:rPr>
  </w:style>
  <w:style w:type="character" w:customStyle="1" w:styleId="HTML1">
    <w:name w:val="Стандартний HTML Знак1"/>
    <w:basedOn w:val="DefaultParagraphFont"/>
    <w:uiPriority w:val="99"/>
    <w:semiHidden/>
    <w:rsid w:val="00AD6F44"/>
    <w:rPr>
      <w:rFonts w:ascii="Courier New" w:hAnsi="Courier New" w:cs="Courier New"/>
      <w:kern w:val="28"/>
      <w:sz w:val="20"/>
      <w:szCs w:val="20"/>
    </w:rPr>
  </w:style>
  <w:style w:type="paragraph" w:customStyle="1" w:styleId="a">
    <w:name w:val="Назва документа"/>
    <w:basedOn w:val="Normal"/>
    <w:next w:val="Normal"/>
    <w:uiPriority w:val="99"/>
    <w:rsid w:val="00F35592"/>
    <w:pPr>
      <w:keepNext/>
      <w:keepLines/>
      <w:widowControl/>
      <w:overflowPunct/>
      <w:adjustRightInd/>
      <w:spacing w:before="360" w:after="360"/>
      <w:jc w:val="center"/>
    </w:pPr>
    <w:rPr>
      <w:rFonts w:ascii="Antiqua" w:hAnsi="Antiqua"/>
      <w:b/>
      <w:kern w:val="0"/>
      <w:sz w:val="26"/>
      <w:szCs w:val="20"/>
      <w:lang w:eastAsia="ru-RU"/>
    </w:rPr>
  </w:style>
  <w:style w:type="character" w:customStyle="1" w:styleId="apple-converted-space">
    <w:name w:val="apple-converted-space"/>
    <w:uiPriority w:val="99"/>
    <w:rsid w:val="005E1D2E"/>
  </w:style>
  <w:style w:type="paragraph" w:customStyle="1" w:styleId="rvps6">
    <w:name w:val="rvps6"/>
    <w:basedOn w:val="Normal"/>
    <w:uiPriority w:val="99"/>
    <w:rsid w:val="003F1F0A"/>
    <w:pPr>
      <w:widowControl/>
      <w:overflowPunct/>
      <w:adjustRightInd/>
      <w:spacing w:before="100" w:beforeAutospacing="1" w:after="100" w:afterAutospacing="1"/>
    </w:pPr>
    <w:rPr>
      <w:kern w:val="0"/>
      <w:sz w:val="24"/>
      <w:szCs w:val="24"/>
      <w:lang w:val="ru-RU" w:eastAsia="ru-RU"/>
    </w:rPr>
  </w:style>
  <w:style w:type="character" w:customStyle="1" w:styleId="rvts23">
    <w:name w:val="rvts23"/>
    <w:basedOn w:val="DefaultParagraphFont"/>
    <w:uiPriority w:val="99"/>
    <w:rsid w:val="003F1F0A"/>
    <w:rPr>
      <w:rFonts w:cs="Times New Roman"/>
    </w:rPr>
  </w:style>
  <w:style w:type="character" w:customStyle="1" w:styleId="rvts0">
    <w:name w:val="rvts0"/>
    <w:uiPriority w:val="99"/>
    <w:rsid w:val="003F1F0A"/>
  </w:style>
  <w:style w:type="character" w:styleId="CommentReference">
    <w:name w:val="annotation reference"/>
    <w:basedOn w:val="DefaultParagraphFont"/>
    <w:uiPriority w:val="99"/>
    <w:rsid w:val="003F1F0A"/>
    <w:rPr>
      <w:rFonts w:cs="Times New Roman"/>
      <w:sz w:val="16"/>
    </w:rPr>
  </w:style>
  <w:style w:type="paragraph" w:styleId="CommentText">
    <w:name w:val="annotation text"/>
    <w:basedOn w:val="Normal"/>
    <w:link w:val="CommentTextChar"/>
    <w:uiPriority w:val="99"/>
    <w:rsid w:val="003F1F0A"/>
    <w:pPr>
      <w:widowControl/>
      <w:overflowPunct/>
      <w:adjustRightInd/>
    </w:pPr>
    <w:rPr>
      <w:kern w:val="0"/>
      <w:sz w:val="20"/>
      <w:szCs w:val="20"/>
      <w:lang w:val="ru-RU" w:eastAsia="ru-RU"/>
    </w:rPr>
  </w:style>
  <w:style w:type="character" w:customStyle="1" w:styleId="CommentTextChar">
    <w:name w:val="Comment Text Char"/>
    <w:basedOn w:val="DefaultParagraphFont"/>
    <w:link w:val="CommentText"/>
    <w:uiPriority w:val="99"/>
    <w:locked/>
    <w:rsid w:val="003F1F0A"/>
    <w:rPr>
      <w:rFonts w:cs="Times New Roman"/>
      <w:sz w:val="20"/>
      <w:szCs w:val="20"/>
      <w:lang w:val="ru-RU" w:eastAsia="ru-RU"/>
    </w:rPr>
  </w:style>
  <w:style w:type="character" w:customStyle="1" w:styleId="rvts52">
    <w:name w:val="rvts52"/>
    <w:basedOn w:val="DefaultParagraphFont"/>
    <w:uiPriority w:val="99"/>
    <w:rsid w:val="00203192"/>
    <w:rPr>
      <w:rFonts w:cs="Times New Roman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832375459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2375460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2375461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2375462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2375463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Normal_Wordconv.dotm</Template>
  <TotalTime>110</TotalTime>
  <Pages>2</Pages>
  <Words>2942</Words>
  <Characters>1678</Characters>
  <Application>Microsoft Office Outlook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ПОЯСНЮВАЛЬНА ЗАПИСКА</dc:title>
  <dc:subject/>
  <dc:creator>Наталі</dc:creator>
  <cp:keywords/>
  <dc:description/>
  <cp:lastModifiedBy>Deputat</cp:lastModifiedBy>
  <cp:revision>12</cp:revision>
  <cp:lastPrinted>2012-04-02T09:24:00Z</cp:lastPrinted>
  <dcterms:created xsi:type="dcterms:W3CDTF">2015-10-04T18:36:00Z</dcterms:created>
  <dcterms:modified xsi:type="dcterms:W3CDTF">2016-02-05T07:24:00Z</dcterms:modified>
</cp:coreProperties>
</file>