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E6E" w:rsidRPr="00BB5E6E" w:rsidRDefault="00BB5E6E" w:rsidP="00BB5E6E">
      <w:pPr>
        <w:widowControl w:val="0"/>
        <w:spacing w:after="0" w:line="240" w:lineRule="auto"/>
        <w:jc w:val="right"/>
        <w:rPr>
          <w:rFonts w:eastAsia="Times New Roman" w:cs="Times New Roman"/>
          <w:szCs w:val="28"/>
          <w:lang w:val="uk-UA" w:eastAsia="ru-RU"/>
        </w:rPr>
      </w:pPr>
      <w:r w:rsidRPr="00BB5E6E">
        <w:rPr>
          <w:rFonts w:eastAsia="Times New Roman" w:cs="Times New Roman"/>
          <w:szCs w:val="28"/>
          <w:lang w:val="uk-UA" w:eastAsia="ru-RU"/>
        </w:rPr>
        <w:t>До реєстр. № 40</w:t>
      </w:r>
      <w:r w:rsidRPr="00BB5E6E">
        <w:rPr>
          <w:rFonts w:eastAsia="Times New Roman" w:cs="Times New Roman"/>
          <w:szCs w:val="28"/>
          <w:lang w:val="uk-UA" w:eastAsia="ru-RU"/>
        </w:rPr>
        <w:t>43</w:t>
      </w:r>
    </w:p>
    <w:p w:rsidR="00BB5E6E" w:rsidRPr="00BB5E6E" w:rsidRDefault="00BB5E6E" w:rsidP="00BB5E6E">
      <w:pPr>
        <w:widowControl w:val="0"/>
        <w:spacing w:after="0" w:line="240" w:lineRule="auto"/>
        <w:jc w:val="right"/>
        <w:rPr>
          <w:rFonts w:eastAsia="Times New Roman" w:cs="Times New Roman"/>
          <w:szCs w:val="28"/>
          <w:lang w:val="uk-UA" w:eastAsia="ru-RU"/>
        </w:rPr>
      </w:pPr>
      <w:r w:rsidRPr="00BB5E6E">
        <w:rPr>
          <w:rFonts w:eastAsia="Times New Roman" w:cs="Times New Roman"/>
          <w:szCs w:val="28"/>
          <w:lang w:val="uk-UA" w:eastAsia="ru-RU"/>
        </w:rPr>
        <w:t>від 0</w:t>
      </w:r>
      <w:r w:rsidRPr="00BB5E6E">
        <w:rPr>
          <w:rFonts w:eastAsia="Times New Roman" w:cs="Times New Roman"/>
          <w:szCs w:val="28"/>
          <w:lang w:val="uk-UA" w:eastAsia="ru-RU"/>
        </w:rPr>
        <w:t>9</w:t>
      </w:r>
      <w:r w:rsidRPr="00BB5E6E">
        <w:rPr>
          <w:rFonts w:eastAsia="Times New Roman" w:cs="Times New Roman"/>
          <w:szCs w:val="28"/>
          <w:lang w:val="uk-UA" w:eastAsia="ru-RU"/>
        </w:rPr>
        <w:t xml:space="preserve"> лютого 2016 року</w:t>
      </w:r>
    </w:p>
    <w:p w:rsidR="00BB5E6E" w:rsidRPr="00BB5E6E" w:rsidRDefault="00BB5E6E" w:rsidP="00BB5E6E">
      <w:pPr>
        <w:widowControl w:val="0"/>
        <w:spacing w:after="0" w:line="240" w:lineRule="auto"/>
        <w:jc w:val="center"/>
        <w:rPr>
          <w:rFonts w:eastAsia="Times New Roman" w:cs="Times New Roman"/>
          <w:b/>
          <w:bCs/>
          <w:szCs w:val="28"/>
          <w:lang w:val="uk-UA" w:eastAsia="ru-RU"/>
        </w:rPr>
      </w:pPr>
    </w:p>
    <w:p w:rsidR="00BB5E6E" w:rsidRPr="00BB5E6E" w:rsidRDefault="00BB5E6E" w:rsidP="00BB5E6E">
      <w:pPr>
        <w:widowControl w:val="0"/>
        <w:spacing w:after="0" w:line="240" w:lineRule="auto"/>
        <w:jc w:val="center"/>
        <w:rPr>
          <w:rFonts w:eastAsia="Times New Roman" w:cs="Times New Roman"/>
          <w:b/>
          <w:bCs/>
          <w:szCs w:val="28"/>
          <w:lang w:val="uk-UA" w:eastAsia="ru-RU"/>
        </w:rPr>
      </w:pPr>
    </w:p>
    <w:p w:rsidR="00BB5E6E" w:rsidRPr="00BB5E6E" w:rsidRDefault="00BB5E6E" w:rsidP="00BB5E6E">
      <w:pPr>
        <w:widowControl w:val="0"/>
        <w:spacing w:after="0" w:line="240" w:lineRule="auto"/>
        <w:jc w:val="center"/>
        <w:rPr>
          <w:rFonts w:eastAsia="Times New Roman" w:cs="Times New Roman"/>
          <w:b/>
          <w:bCs/>
          <w:szCs w:val="28"/>
          <w:lang w:val="uk-UA" w:eastAsia="ru-RU"/>
        </w:rPr>
      </w:pPr>
      <w:r w:rsidRPr="00BB5E6E">
        <w:rPr>
          <w:rFonts w:eastAsia="Times New Roman" w:cs="Times New Roman"/>
          <w:b/>
          <w:bCs/>
          <w:szCs w:val="28"/>
          <w:lang w:val="uk-UA" w:eastAsia="ru-RU"/>
        </w:rPr>
        <w:t>ВИСНОВОК</w:t>
      </w:r>
    </w:p>
    <w:p w:rsidR="00BB5E6E" w:rsidRPr="00BB5E6E" w:rsidRDefault="00BB5E6E" w:rsidP="00BB5E6E">
      <w:pPr>
        <w:widowControl w:val="0"/>
        <w:spacing w:after="0" w:line="240" w:lineRule="auto"/>
        <w:jc w:val="center"/>
        <w:rPr>
          <w:rFonts w:eastAsia="Times New Roman" w:cs="Times New Roman"/>
          <w:b/>
          <w:bCs/>
          <w:szCs w:val="28"/>
          <w:lang w:val="uk-UA" w:eastAsia="ru-RU"/>
        </w:rPr>
      </w:pPr>
    </w:p>
    <w:p w:rsidR="00BB5E6E" w:rsidRPr="00BB5E6E" w:rsidRDefault="00BB5E6E" w:rsidP="00BB5E6E">
      <w:pPr>
        <w:widowControl w:val="0"/>
        <w:spacing w:after="0" w:line="240" w:lineRule="auto"/>
        <w:jc w:val="center"/>
        <w:rPr>
          <w:rFonts w:eastAsia="Times New Roman" w:cs="Times New Roman"/>
          <w:b/>
          <w:szCs w:val="28"/>
          <w:lang w:val="uk-UA" w:eastAsia="ru-RU"/>
        </w:rPr>
      </w:pPr>
      <w:r w:rsidRPr="00BB5E6E">
        <w:rPr>
          <w:rFonts w:eastAsia="Times New Roman" w:cs="Times New Roman"/>
          <w:b/>
          <w:szCs w:val="28"/>
          <w:lang w:val="uk-UA" w:eastAsia="ru-RU"/>
        </w:rPr>
        <w:t>Комітету Верховної Ради України</w:t>
      </w:r>
    </w:p>
    <w:p w:rsidR="00BB5E6E" w:rsidRPr="00BB5E6E" w:rsidRDefault="00BB5E6E" w:rsidP="00BB5E6E">
      <w:pPr>
        <w:widowControl w:val="0"/>
        <w:spacing w:after="0" w:line="240" w:lineRule="auto"/>
        <w:jc w:val="center"/>
        <w:rPr>
          <w:rFonts w:eastAsia="Times New Roman" w:cs="Times New Roman"/>
          <w:b/>
          <w:szCs w:val="28"/>
          <w:lang w:val="uk-UA" w:eastAsia="ru-RU"/>
        </w:rPr>
      </w:pPr>
      <w:r w:rsidRPr="00BB5E6E">
        <w:rPr>
          <w:rFonts w:eastAsia="Times New Roman" w:cs="Times New Roman"/>
          <w:b/>
          <w:szCs w:val="28"/>
          <w:lang w:val="uk-UA" w:eastAsia="ru-RU"/>
        </w:rPr>
        <w:t>з питань правової політики та правосуддя</w:t>
      </w:r>
    </w:p>
    <w:p w:rsidR="00B45EB5" w:rsidRPr="00BB5E6E" w:rsidRDefault="00B45EB5" w:rsidP="00BB5E6E">
      <w:pPr>
        <w:spacing w:after="0" w:line="240" w:lineRule="auto"/>
        <w:jc w:val="center"/>
        <w:rPr>
          <w:rFonts w:eastAsia="Times New Roman" w:cs="Times New Roman"/>
          <w:szCs w:val="28"/>
          <w:lang w:val="uk-UA" w:eastAsia="ru-RU"/>
        </w:rPr>
      </w:pPr>
    </w:p>
    <w:p w:rsidR="00065252" w:rsidRPr="00BB5E6E" w:rsidRDefault="00065252" w:rsidP="00BB5E6E">
      <w:pPr>
        <w:spacing w:after="0" w:line="240" w:lineRule="auto"/>
        <w:jc w:val="center"/>
        <w:rPr>
          <w:rFonts w:cs="Times New Roman"/>
          <w:b/>
          <w:szCs w:val="28"/>
          <w:lang w:val="uk-UA"/>
        </w:rPr>
      </w:pPr>
      <w:r w:rsidRPr="00BB5E6E">
        <w:rPr>
          <w:rFonts w:cs="Times New Roman"/>
          <w:b/>
          <w:szCs w:val="28"/>
          <w:lang w:val="uk-UA"/>
        </w:rPr>
        <w:t>щодо проекту Закону про внесення змін до деяких законодавчих актів України щодо визначення свідоцтва про право власності одним з правовстановлюючих документів на нерухоме майно</w:t>
      </w:r>
    </w:p>
    <w:p w:rsidR="00065252" w:rsidRPr="00BB5E6E" w:rsidRDefault="00065252" w:rsidP="00BB5E6E">
      <w:pPr>
        <w:widowControl w:val="0"/>
        <w:spacing w:after="0" w:line="240" w:lineRule="auto"/>
        <w:ind w:firstLine="720"/>
        <w:jc w:val="center"/>
        <w:rPr>
          <w:rFonts w:cs="Times New Roman"/>
          <w:b/>
          <w:bCs/>
          <w:szCs w:val="28"/>
          <w:lang w:val="uk-UA"/>
        </w:rPr>
      </w:pPr>
      <w:r w:rsidRPr="00BB5E6E">
        <w:rPr>
          <w:rFonts w:cs="Times New Roman"/>
          <w:b/>
          <w:bCs/>
          <w:szCs w:val="28"/>
          <w:lang w:val="uk-UA"/>
        </w:rPr>
        <w:t>(реєстр.</w:t>
      </w:r>
      <w:r w:rsidRPr="00BB5E6E">
        <w:rPr>
          <w:rFonts w:cs="Times New Roman"/>
          <w:szCs w:val="28"/>
          <w:lang w:val="uk-UA"/>
        </w:rPr>
        <w:t xml:space="preserve"> </w:t>
      </w:r>
      <w:r w:rsidRPr="00BB5E6E">
        <w:rPr>
          <w:rFonts w:cs="Times New Roman"/>
          <w:b/>
          <w:szCs w:val="28"/>
          <w:lang w:val="uk-UA"/>
        </w:rPr>
        <w:t>№ 4043 від 9 лютого 2016</w:t>
      </w:r>
      <w:r w:rsidRPr="00BB5E6E">
        <w:rPr>
          <w:rFonts w:cs="Times New Roman"/>
          <w:b/>
          <w:bCs/>
          <w:szCs w:val="28"/>
          <w:lang w:val="uk-UA"/>
        </w:rPr>
        <w:t xml:space="preserve"> року)</w:t>
      </w:r>
    </w:p>
    <w:p w:rsidR="00B45EB5" w:rsidRPr="00BB5E6E" w:rsidRDefault="00B45EB5" w:rsidP="00BB5E6E">
      <w:pPr>
        <w:spacing w:after="0" w:line="240" w:lineRule="auto"/>
        <w:jc w:val="center"/>
        <w:rPr>
          <w:rFonts w:eastAsia="Times New Roman" w:cs="Times New Roman"/>
          <w:b/>
          <w:szCs w:val="28"/>
          <w:lang w:val="uk-UA" w:eastAsia="ru-RU"/>
        </w:rPr>
      </w:pPr>
    </w:p>
    <w:p w:rsidR="00B45EB5" w:rsidRPr="00BB5E6E" w:rsidRDefault="00B45EB5" w:rsidP="00BB5E6E">
      <w:pPr>
        <w:spacing w:after="0" w:line="240" w:lineRule="auto"/>
        <w:jc w:val="center"/>
        <w:rPr>
          <w:rFonts w:eastAsia="Times New Roman" w:cs="Times New Roman"/>
          <w:b/>
          <w:bCs/>
          <w:szCs w:val="28"/>
          <w:lang w:val="uk-UA" w:eastAsia="ru-RU"/>
        </w:rPr>
      </w:pPr>
    </w:p>
    <w:p w:rsidR="00065252" w:rsidRPr="00BB5E6E" w:rsidRDefault="00B45EB5" w:rsidP="00BB5E6E">
      <w:pPr>
        <w:spacing w:after="0" w:line="240" w:lineRule="auto"/>
        <w:ind w:firstLine="720"/>
        <w:jc w:val="both"/>
        <w:rPr>
          <w:rFonts w:cs="Times New Roman"/>
          <w:szCs w:val="28"/>
          <w:lang w:val="uk-UA"/>
        </w:rPr>
      </w:pPr>
      <w:r w:rsidRPr="00BB5E6E">
        <w:rPr>
          <w:rFonts w:eastAsia="Times New Roman" w:cs="Times New Roman"/>
          <w:bCs/>
          <w:szCs w:val="28"/>
          <w:lang w:val="uk-UA" w:eastAsia="ru-RU"/>
        </w:rPr>
        <w:t xml:space="preserve">Комітет з питань правової політики та правосуддя розглянув на своєму засіданні 06 вересня 2016 року (протокол № </w:t>
      </w:r>
      <w:r w:rsidR="00F579B3" w:rsidRPr="00BB5E6E">
        <w:rPr>
          <w:rFonts w:eastAsia="Times New Roman" w:cs="Times New Roman"/>
          <w:bCs/>
          <w:szCs w:val="28"/>
          <w:lang w:val="uk-UA" w:eastAsia="ru-RU"/>
        </w:rPr>
        <w:t>50</w:t>
      </w:r>
      <w:r w:rsidRPr="00BB5E6E">
        <w:rPr>
          <w:rFonts w:eastAsia="Times New Roman" w:cs="Times New Roman"/>
          <w:bCs/>
          <w:szCs w:val="28"/>
          <w:lang w:val="uk-UA" w:eastAsia="ru-RU"/>
        </w:rPr>
        <w:t xml:space="preserve">) на відповідність Конституції України </w:t>
      </w:r>
      <w:r w:rsidRPr="00BB5E6E">
        <w:rPr>
          <w:rFonts w:eastAsia="Times New Roman" w:cs="Times New Roman"/>
          <w:szCs w:val="28"/>
          <w:lang w:val="uk-UA" w:eastAsia="ru-RU"/>
        </w:rPr>
        <w:t xml:space="preserve">проект Закону </w:t>
      </w:r>
      <w:r w:rsidR="00065252" w:rsidRPr="00BB5E6E">
        <w:rPr>
          <w:rFonts w:cs="Times New Roman"/>
          <w:szCs w:val="28"/>
          <w:lang w:val="uk-UA"/>
        </w:rPr>
        <w:t>про внесення змін до деяких законодавчих актів України щодо визначення свідоцтва про право власності одним з правовстановлюючих документів на нерухоме майно (реєстр. № 4043                                 від 9 лютого 2016 року)</w:t>
      </w:r>
      <w:r w:rsidR="00065252" w:rsidRPr="00BB5E6E">
        <w:rPr>
          <w:rStyle w:val="a6"/>
          <w:b w:val="0"/>
          <w:szCs w:val="28"/>
          <w:lang w:val="uk-UA"/>
        </w:rPr>
        <w:t xml:space="preserve"> (далі – Законопроект)</w:t>
      </w:r>
      <w:r w:rsidR="00065252" w:rsidRPr="00BB5E6E">
        <w:rPr>
          <w:rFonts w:cs="Times New Roman"/>
          <w:szCs w:val="28"/>
          <w:lang w:val="uk-UA"/>
        </w:rPr>
        <w:t>, поданий народним депутатом України Шевченком О.Л.</w:t>
      </w:r>
    </w:p>
    <w:p w:rsidR="00065252" w:rsidRPr="00BB5E6E" w:rsidRDefault="00065252" w:rsidP="00BB5E6E">
      <w:pPr>
        <w:spacing w:after="0" w:line="240" w:lineRule="auto"/>
        <w:ind w:firstLine="720"/>
        <w:jc w:val="both"/>
        <w:rPr>
          <w:rFonts w:cs="Times New Roman"/>
          <w:szCs w:val="28"/>
          <w:lang w:val="uk-UA"/>
        </w:rPr>
      </w:pP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Згідно з пояснювальною запискою до Законопроекту </w:t>
      </w:r>
      <w:r w:rsidRPr="00BB5E6E">
        <w:rPr>
          <w:rStyle w:val="a6"/>
          <w:b w:val="0"/>
          <w:szCs w:val="28"/>
          <w:lang w:val="uk-UA"/>
        </w:rPr>
        <w:t xml:space="preserve">він розроблений з метою </w:t>
      </w:r>
      <w:r w:rsidRPr="00BB5E6E">
        <w:rPr>
          <w:rFonts w:cs="Times New Roman"/>
          <w:szCs w:val="28"/>
          <w:lang w:val="uk-UA"/>
        </w:rPr>
        <w:t>удосконалення редакції Закону України «Про державну реєстрацію речових прав на нерухоме майно та їх обтяжень».</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Для досягнення мети автором пропонується </w:t>
      </w:r>
      <w:r w:rsidRPr="00BB5E6E">
        <w:rPr>
          <w:rFonts w:cs="Times New Roman"/>
          <w:kern w:val="24"/>
          <w:szCs w:val="28"/>
          <w:lang w:val="uk-UA"/>
        </w:rPr>
        <w:t xml:space="preserve">внести зміни до </w:t>
      </w:r>
      <w:r w:rsidR="00BB5E6E">
        <w:rPr>
          <w:rFonts w:cs="Times New Roman"/>
          <w:color w:val="000000"/>
          <w:szCs w:val="28"/>
          <w:lang w:val="uk-UA"/>
        </w:rPr>
        <w:t>з</w:t>
      </w:r>
      <w:r w:rsidRPr="00BB5E6E">
        <w:rPr>
          <w:rFonts w:cs="Times New Roman"/>
          <w:color w:val="000000"/>
          <w:szCs w:val="28"/>
          <w:lang w:val="uk-UA"/>
        </w:rPr>
        <w:t xml:space="preserve">аконів України </w:t>
      </w:r>
      <w:r w:rsidRPr="00BB5E6E">
        <w:rPr>
          <w:rFonts w:cs="Times New Roman"/>
          <w:szCs w:val="28"/>
          <w:lang w:val="uk-UA"/>
        </w:rPr>
        <w:t>«Про державну реєстрацію речових прав на нерухоме майно та їх обтяжень» та «</w:t>
      </w:r>
      <w:r w:rsidRPr="00BB5E6E">
        <w:rPr>
          <w:rFonts w:cs="Times New Roman"/>
          <w:szCs w:val="28"/>
          <w:lang w:val="uk-UA" w:eastAsia="uk-UA"/>
        </w:rPr>
        <w:t>Про нотаріат</w:t>
      </w:r>
      <w:r w:rsidRPr="00BB5E6E">
        <w:rPr>
          <w:rFonts w:cs="Times New Roman"/>
          <w:szCs w:val="28"/>
          <w:lang w:val="uk-UA"/>
        </w:rPr>
        <w:t>», згідно яких державний реєстратор видаватиме с</w:t>
      </w:r>
      <w:r w:rsidRPr="00BB5E6E">
        <w:rPr>
          <w:rFonts w:cs="Times New Roman"/>
          <w:color w:val="000000"/>
          <w:szCs w:val="28"/>
          <w:lang w:val="uk-UA"/>
        </w:rPr>
        <w:t xml:space="preserve">відоцтво про право власності на нерухоме майно, що підтверджуватиме виникнення права власності при здійсненні державної реєстрації прав на нерухоме майно, а саме: фізичним та юридичним особам на новозбудовані, реконструйовані об'єкти нерухомого майна; членам житлового, житлово-будівельного, дачного, гаражного чи іншого відповідного кооперативу, які повністю внесли свої пайові внески; </w:t>
      </w:r>
      <w:bookmarkStart w:id="0" w:name="o241"/>
      <w:bookmarkEnd w:id="0"/>
      <w:r w:rsidRPr="00BB5E6E">
        <w:rPr>
          <w:rFonts w:cs="Times New Roman"/>
          <w:color w:val="000000"/>
          <w:szCs w:val="28"/>
          <w:lang w:val="uk-UA"/>
        </w:rPr>
        <w:t xml:space="preserve">юридичним особам у разі внесення до статутного фонду (статутного або складеного капіталу) об'єктів нерухомого майна їх засновниками (учасниками); </w:t>
      </w:r>
      <w:bookmarkStart w:id="1" w:name="o242"/>
      <w:bookmarkEnd w:id="1"/>
      <w:r w:rsidRPr="00BB5E6E">
        <w:rPr>
          <w:rFonts w:cs="Times New Roman"/>
          <w:color w:val="000000"/>
          <w:szCs w:val="28"/>
          <w:lang w:val="uk-UA"/>
        </w:rPr>
        <w:t xml:space="preserve">фізичним особам та юридичним особам, які в разі ліквідації (реорганізації) юридичної особи отримали у власність у встановленому законодавством порядку нерухоме майно юридичної особи, що ліквідується (реорганізується); </w:t>
      </w:r>
      <w:bookmarkStart w:id="2" w:name="o243"/>
      <w:bookmarkEnd w:id="2"/>
      <w:r w:rsidRPr="00BB5E6E">
        <w:rPr>
          <w:rFonts w:cs="Times New Roman"/>
          <w:color w:val="000000"/>
          <w:szCs w:val="28"/>
          <w:lang w:val="uk-UA"/>
        </w:rPr>
        <w:t xml:space="preserve">фізичним особам та юридичним особам, що вийшли зі складу засновників (учасників) юридичної особи за рішенням органу, уповноваженого на це установчими документами, отримали у власність об'єкт нерухомого майна, переданий їм; </w:t>
      </w:r>
      <w:bookmarkStart w:id="3" w:name="o244"/>
      <w:bookmarkEnd w:id="3"/>
      <w:r w:rsidRPr="00BB5E6E">
        <w:rPr>
          <w:rFonts w:cs="Times New Roman"/>
          <w:color w:val="000000"/>
          <w:szCs w:val="28"/>
          <w:lang w:val="uk-UA"/>
        </w:rPr>
        <w:t xml:space="preserve">реабілітованим громадянам, яким повернуто у власність належні їм об'єкти нерухомого майна; </w:t>
      </w:r>
      <w:bookmarkStart w:id="4" w:name="o245"/>
      <w:bookmarkEnd w:id="4"/>
      <w:r w:rsidRPr="00BB5E6E">
        <w:rPr>
          <w:rFonts w:cs="Times New Roman"/>
          <w:color w:val="000000"/>
          <w:szCs w:val="28"/>
          <w:lang w:val="uk-UA"/>
        </w:rPr>
        <w:t xml:space="preserve">у разі виділення окремого об'єкта нерухомого майна зі складу об'єкта нерухомого </w:t>
      </w:r>
      <w:r w:rsidRPr="00BB5E6E">
        <w:rPr>
          <w:rFonts w:cs="Times New Roman"/>
          <w:color w:val="000000"/>
          <w:szCs w:val="28"/>
          <w:lang w:val="uk-UA"/>
        </w:rPr>
        <w:lastRenderedPageBreak/>
        <w:t xml:space="preserve">майна, що складається із двох або більше об'єктів; </w:t>
      </w:r>
      <w:bookmarkStart w:id="5" w:name="o246"/>
      <w:bookmarkEnd w:id="5"/>
      <w:r w:rsidRPr="00BB5E6E">
        <w:rPr>
          <w:rFonts w:cs="Times New Roman"/>
          <w:color w:val="000000"/>
          <w:szCs w:val="28"/>
          <w:lang w:val="uk-UA"/>
        </w:rPr>
        <w:t xml:space="preserve">фізичним та юридичним особам на об'єкти нерухомого майна, які в установленому порядку переведені з житлових у нежитлові і навпаки; </w:t>
      </w:r>
      <w:bookmarkStart w:id="6" w:name="o247"/>
      <w:bookmarkEnd w:id="6"/>
      <w:r w:rsidRPr="00BB5E6E">
        <w:rPr>
          <w:rFonts w:cs="Times New Roman"/>
          <w:color w:val="000000"/>
          <w:szCs w:val="28"/>
          <w:lang w:val="uk-UA"/>
        </w:rPr>
        <w:t>фізичним та юридичним особам у разі безоплатної передачі їм земельної ділянки із земель державної чи комунальної власності за рішеннями органів державної влади, Ради міністрів Автономної Республіки Крим, органів місцевого самоврядування; в інших випадках, встановлених законом. Разом з тим, п</w:t>
      </w:r>
      <w:r w:rsidRPr="00BB5E6E">
        <w:rPr>
          <w:rFonts w:cs="Times New Roman"/>
          <w:szCs w:val="28"/>
          <w:lang w:val="uk-UA"/>
        </w:rPr>
        <w:t>равочини щодо відчуження та застави майна, право власності на яке підлягає реєстрації, посвідчуватимуться за умови подання документів, що підтверджують право власності на майно, що відчужується або заставляється.</w:t>
      </w:r>
    </w:p>
    <w:p w:rsidR="00065252" w:rsidRPr="00BB5E6E" w:rsidRDefault="00065252" w:rsidP="00BB5E6E">
      <w:pPr>
        <w:spacing w:after="0" w:line="240" w:lineRule="auto"/>
        <w:ind w:firstLine="720"/>
        <w:jc w:val="both"/>
        <w:rPr>
          <w:rFonts w:cs="Times New Roman"/>
          <w:szCs w:val="28"/>
          <w:lang w:val="uk-UA"/>
        </w:rPr>
      </w:pPr>
    </w:p>
    <w:p w:rsidR="00065252" w:rsidRPr="00BB5E6E" w:rsidRDefault="00065252" w:rsidP="00BB5E6E">
      <w:pPr>
        <w:spacing w:after="0" w:line="240" w:lineRule="auto"/>
        <w:ind w:firstLine="709"/>
        <w:jc w:val="both"/>
        <w:rPr>
          <w:rFonts w:cs="Times New Roman"/>
          <w:szCs w:val="28"/>
          <w:lang w:val="uk-UA"/>
        </w:rPr>
      </w:pPr>
      <w:r w:rsidRPr="00BB5E6E">
        <w:rPr>
          <w:rFonts w:cs="Times New Roman"/>
          <w:szCs w:val="28"/>
          <w:lang w:val="uk-UA"/>
        </w:rPr>
        <w:t>Вирішуючи питання про відповідність Законопроекту положенням Конституції України, Комітет виходить з такого.</w:t>
      </w:r>
    </w:p>
    <w:p w:rsidR="00065252" w:rsidRPr="00BB5E6E" w:rsidRDefault="00065252" w:rsidP="00BB5E6E">
      <w:pPr>
        <w:spacing w:after="0" w:line="240" w:lineRule="auto"/>
        <w:ind w:firstLine="720"/>
        <w:jc w:val="both"/>
        <w:rPr>
          <w:rFonts w:cs="Times New Roman"/>
          <w:szCs w:val="28"/>
          <w:lang w:val="uk-UA"/>
        </w:rPr>
      </w:pPr>
      <w:r w:rsidRPr="00BB5E6E">
        <w:rPr>
          <w:rStyle w:val="a6"/>
          <w:b w:val="0"/>
          <w:szCs w:val="28"/>
          <w:lang w:val="uk-UA"/>
        </w:rPr>
        <w:t xml:space="preserve">У Конституції України визначається, що Україна 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w:t>
      </w:r>
      <w:bookmarkStart w:id="7" w:name="n4224"/>
      <w:bookmarkEnd w:id="7"/>
      <w:r w:rsidRPr="00BB5E6E">
        <w:rPr>
          <w:rFonts w:cs="Times New Roman"/>
          <w:szCs w:val="28"/>
          <w:lang w:val="uk-UA"/>
        </w:rPr>
        <w:t xml:space="preserve">органи державної влади зобов'язані діяти лише на підставі, в межах повноважень та у спосіб, що передбачені Конституцією та законами України (частина друга статті 19).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Зважаючи на важливість фундаментальних засад конституційного ладу в Конституції України передбачено систему гарантій щодо забезпечення функціонування інституту права власності.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Так, земля, яка є основним національним багатством, що перебуває під особливою охороною держави, є об'єктом права власності Українського народу, від імені якого права власника здійснюють органи державної влади та органи місцевого самоврядування в межах, визначених цією Конституцією (частина перша статті 13, частина перша статті 14). </w:t>
      </w:r>
    </w:p>
    <w:p w:rsidR="00065252" w:rsidRPr="00BB5E6E" w:rsidRDefault="00065252" w:rsidP="00BB5E6E">
      <w:pPr>
        <w:spacing w:after="0" w:line="240" w:lineRule="auto"/>
        <w:ind w:firstLine="720"/>
        <w:jc w:val="both"/>
        <w:rPr>
          <w:rFonts w:cs="Times New Roman"/>
          <w:szCs w:val="28"/>
          <w:lang w:val="uk-UA"/>
        </w:rPr>
      </w:pPr>
      <w:bookmarkStart w:id="8" w:name="o38"/>
      <w:bookmarkEnd w:id="8"/>
      <w:r w:rsidRPr="00BB5E6E">
        <w:rPr>
          <w:rFonts w:cs="Times New Roman"/>
          <w:szCs w:val="28"/>
          <w:lang w:val="uk-UA"/>
        </w:rPr>
        <w:t xml:space="preserve">Крім того, в Основному Законі України зазначено, що держава забезпечує захист прав усіх суб'єктів права власності і господарювання, соціальну спрямованість економіки; усі суб'єкти права власності рівні перед законом (частина четверта статті 13); право власності на землю гарантується, воно набувається і реалізується громадянами, юридичними особами та державою виключно відповідно до закону (частина друга статті 14); земля, що є у власності територіальних громад сіл, селищ, міст, районів у містах є матеріальною і фінансовою основою місцевого самоврядування (частина перша статті 142); кожен має право володіти, користуватися і розпоряджатися своєю власністю (частина перша статті 41); </w:t>
      </w:r>
      <w:bookmarkStart w:id="9" w:name="n603"/>
      <w:bookmarkEnd w:id="9"/>
      <w:r w:rsidRPr="00BB5E6E">
        <w:rPr>
          <w:rFonts w:cs="Times New Roman"/>
          <w:szCs w:val="28"/>
          <w:lang w:val="uk-UA"/>
        </w:rPr>
        <w:t xml:space="preserve">право приватної власності набувається в порядку, визначеному законом (частина друга статті 41); </w:t>
      </w:r>
      <w:bookmarkStart w:id="10" w:name="n4294"/>
      <w:bookmarkEnd w:id="10"/>
      <w:r w:rsidRPr="00BB5E6E">
        <w:rPr>
          <w:rFonts w:cs="Times New Roman"/>
          <w:szCs w:val="28"/>
          <w:lang w:val="uk-UA"/>
        </w:rPr>
        <w:t>громадяни для задоволення своїх потреб можуть користуватися об'єктами права державної та комунальної власності відповідно до закону (частина третя статті 41).</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При цьому, слід зазначити, що </w:t>
      </w:r>
      <w:bookmarkStart w:id="11" w:name="n1054"/>
      <w:bookmarkStart w:id="12" w:name="n1055"/>
      <w:bookmarkEnd w:id="11"/>
      <w:bookmarkEnd w:id="12"/>
      <w:r w:rsidRPr="00BB5E6E">
        <w:rPr>
          <w:rFonts w:cs="Times New Roman"/>
          <w:szCs w:val="28"/>
          <w:lang w:val="uk-UA"/>
        </w:rPr>
        <w:t xml:space="preserve">право власності та інші речові права на нерухомі речі, обтяження цих прав, їх виникнення, перехід і припинення </w:t>
      </w:r>
      <w:r w:rsidRPr="00BB5E6E">
        <w:rPr>
          <w:rFonts w:cs="Times New Roman"/>
          <w:szCs w:val="28"/>
          <w:lang w:val="uk-UA"/>
        </w:rPr>
        <w:lastRenderedPageBreak/>
        <w:t xml:space="preserve">підлягають державній реєстрації; </w:t>
      </w:r>
      <w:bookmarkStart w:id="13" w:name="n1056"/>
      <w:bookmarkStart w:id="14" w:name="n1061"/>
      <w:bookmarkEnd w:id="13"/>
      <w:bookmarkEnd w:id="14"/>
      <w:r w:rsidRPr="00BB5E6E">
        <w:rPr>
          <w:rFonts w:cs="Times New Roman"/>
          <w:szCs w:val="28"/>
          <w:lang w:val="uk-UA"/>
        </w:rPr>
        <w:t xml:space="preserve">порядок проведення державної реєстрації прав на нерухомість та підстави відмови в ній встановлюються законом (частини перша, четверта статті 182 Цивільного кодексу України). Разом з тим, </w:t>
      </w:r>
      <w:bookmarkStart w:id="15" w:name="n1793"/>
      <w:bookmarkEnd w:id="15"/>
      <w:r w:rsidRPr="00BB5E6E">
        <w:rPr>
          <w:rFonts w:cs="Times New Roman"/>
          <w:szCs w:val="28"/>
          <w:lang w:val="uk-UA"/>
        </w:rPr>
        <w:t xml:space="preserve">якщо право власності на нерухоме майно відповідно до закону підлягає державній реєстрації, право власності виникає з моменту державної реєстрації (частина друга статті 331 Цивільного кодексу України); </w:t>
      </w:r>
      <w:bookmarkStart w:id="16" w:name="n1811"/>
      <w:bookmarkEnd w:id="16"/>
      <w:r w:rsidRPr="00BB5E6E">
        <w:rPr>
          <w:rFonts w:cs="Times New Roman"/>
          <w:szCs w:val="28"/>
          <w:lang w:val="uk-UA"/>
        </w:rPr>
        <w:t xml:space="preserve">права на нерухоме майно, які підлягають державній реєстрації, виникають з дня такої реєстрації відповідно до закону (частини четверта статті 334 Цивільного кодексу України); </w:t>
      </w:r>
      <w:bookmarkStart w:id="17" w:name="n1104"/>
      <w:bookmarkStart w:id="18" w:name="n1105"/>
      <w:bookmarkEnd w:id="17"/>
      <w:bookmarkEnd w:id="18"/>
      <w:r w:rsidRPr="00BB5E6E">
        <w:rPr>
          <w:rFonts w:cs="Times New Roman"/>
          <w:szCs w:val="28"/>
          <w:lang w:val="uk-UA"/>
        </w:rPr>
        <w:t xml:space="preserve">право власності на земельну ділянку, а також право постійного користування та право оренди земельної ділянки виникають з моменту державної реєстрації цих прав; </w:t>
      </w:r>
      <w:bookmarkStart w:id="19" w:name="n1106"/>
      <w:bookmarkStart w:id="20" w:name="n1107"/>
      <w:bookmarkStart w:id="21" w:name="n1108"/>
      <w:bookmarkEnd w:id="19"/>
      <w:bookmarkEnd w:id="20"/>
      <w:bookmarkEnd w:id="21"/>
      <w:r w:rsidRPr="00BB5E6E">
        <w:rPr>
          <w:rFonts w:cs="Times New Roman"/>
          <w:szCs w:val="28"/>
          <w:lang w:val="uk-UA"/>
        </w:rPr>
        <w:t xml:space="preserve">право власності, користування земельною ділянкою оформлюється відповідно до </w:t>
      </w:r>
      <w:hyperlink r:id="rId6" w:tgtFrame="_blank" w:history="1">
        <w:r w:rsidRPr="00BB5E6E">
          <w:rPr>
            <w:rFonts w:cs="Times New Roman"/>
            <w:szCs w:val="28"/>
            <w:lang w:val="uk-UA"/>
          </w:rPr>
          <w:t xml:space="preserve">Закону України </w:t>
        </w:r>
        <w:r w:rsidR="00BB5E6E">
          <w:rPr>
            <w:rFonts w:cs="Times New Roman"/>
            <w:szCs w:val="28"/>
            <w:lang w:val="uk-UA"/>
          </w:rPr>
          <w:t>«</w:t>
        </w:r>
        <w:r w:rsidRPr="00BB5E6E">
          <w:rPr>
            <w:rFonts w:cs="Times New Roman"/>
            <w:szCs w:val="28"/>
            <w:lang w:val="uk-UA"/>
          </w:rPr>
          <w:t>Про державну реєстрацію речових прав на нерухоме майно та їх обтяжень</w:t>
        </w:r>
        <w:r w:rsidR="00BB5E6E">
          <w:rPr>
            <w:rFonts w:cs="Times New Roman"/>
            <w:szCs w:val="28"/>
            <w:lang w:val="uk-UA"/>
          </w:rPr>
          <w:t>»</w:t>
        </w:r>
      </w:hyperlink>
      <w:r w:rsidRPr="00BB5E6E">
        <w:rPr>
          <w:rFonts w:cs="Times New Roman"/>
          <w:szCs w:val="28"/>
          <w:lang w:val="uk-UA"/>
        </w:rPr>
        <w:t xml:space="preserve"> (статті 125, 126 Земельного кодексу України).</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Відповідно до частини третьої статті 1 Закону України «Про нотаріат», на нотаріусів, які працюють у державних нотаріальних конторах або займаються приватною нотаріальною діяльністю, законом може бути покладено вчинення інших дій, відмінних від нотаріальних, з метою надання їм юридичної вірогідності. Так, Законом України «</w:t>
      </w:r>
      <w:r w:rsidRPr="00BB5E6E">
        <w:rPr>
          <w:rStyle w:val="rvts23"/>
          <w:rFonts w:cs="Times New Roman"/>
          <w:color w:val="000000"/>
          <w:szCs w:val="28"/>
          <w:lang w:val="uk-UA"/>
        </w:rPr>
        <w:t>Про внесення змін до Закону України «Про державну реєстрацію речових прав на нерухоме майно та їх обтяжень» та деяких інших законодавчих актів України щодо децентралізації повноважень з державної реєстрації речових прав на нерухоме майно та їх обтяжень</w:t>
      </w:r>
      <w:r w:rsidRPr="00BB5E6E">
        <w:rPr>
          <w:rFonts w:cs="Times New Roman"/>
          <w:szCs w:val="28"/>
          <w:lang w:val="uk-UA"/>
        </w:rPr>
        <w:t xml:space="preserve">» від 26 листопада 2015 року № 834 – </w:t>
      </w:r>
      <w:r w:rsidRPr="00BB5E6E">
        <w:rPr>
          <w:rFonts w:cs="Times New Roman"/>
          <w:szCs w:val="28"/>
        </w:rPr>
        <w:t>VIII</w:t>
      </w:r>
      <w:r w:rsidRPr="00BB5E6E">
        <w:rPr>
          <w:rFonts w:cs="Times New Roman"/>
          <w:szCs w:val="28"/>
          <w:lang w:val="uk-UA"/>
        </w:rPr>
        <w:t>, нотаріуси наділяються повноваженнями державних реєстраторів прав на нерухоме майно та можуть здійснювати державну реєстрацію речових прав на нерухоме майно та їх обтяжень без вчинення нотаріальної дії щодо такого майна (пункт</w:t>
      </w:r>
      <w:r w:rsidR="006856AB">
        <w:rPr>
          <w:rFonts w:cs="Times New Roman"/>
          <w:szCs w:val="28"/>
          <w:lang w:val="uk-UA"/>
        </w:rPr>
        <w:t> </w:t>
      </w:r>
      <w:r w:rsidRPr="00BB5E6E">
        <w:rPr>
          <w:rFonts w:cs="Times New Roman"/>
          <w:szCs w:val="28"/>
          <w:lang w:val="uk-UA"/>
        </w:rPr>
        <w:t xml:space="preserve">2 частини першої статті 10; підпункт 1 пункту 2 розділу ІІ «Прикінцеві та перехідні положення»). </w:t>
      </w:r>
      <w:bookmarkStart w:id="22" w:name="n3"/>
      <w:bookmarkStart w:id="23" w:name="n112"/>
      <w:bookmarkStart w:id="24" w:name="n488"/>
      <w:bookmarkEnd w:id="22"/>
      <w:bookmarkEnd w:id="23"/>
      <w:bookmarkEnd w:id="24"/>
      <w:r w:rsidRPr="00BB5E6E">
        <w:rPr>
          <w:rFonts w:cs="Times New Roman"/>
          <w:szCs w:val="28"/>
          <w:lang w:val="uk-UA"/>
        </w:rPr>
        <w:t xml:space="preserve">Користування Державним реєстром речових прав на нерухоме майно здійснюється безпосередньо нотаріусом, який вчиняє відповідну нотаріальну дію, або його помічником (частина третя статті </w:t>
      </w:r>
      <w:r w:rsidRPr="00BB5E6E">
        <w:rPr>
          <w:rFonts w:cs="Times New Roman"/>
          <w:bCs/>
          <w:color w:val="000000"/>
          <w:szCs w:val="28"/>
          <w:lang w:val="uk-UA"/>
        </w:rPr>
        <w:t xml:space="preserve">46-1 </w:t>
      </w:r>
      <w:r w:rsidRPr="00BB5E6E">
        <w:rPr>
          <w:rFonts w:cs="Times New Roman"/>
          <w:szCs w:val="28"/>
          <w:lang w:val="uk-UA"/>
        </w:rPr>
        <w:t xml:space="preserve">Закону України «Про нотаріат»).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Разом з тим, </w:t>
      </w:r>
      <w:bookmarkStart w:id="25" w:name="n144"/>
      <w:bookmarkEnd w:id="25"/>
      <w:r w:rsidRPr="00BB5E6E">
        <w:rPr>
          <w:rFonts w:cs="Times New Roman"/>
          <w:szCs w:val="28"/>
          <w:lang w:val="uk-UA"/>
        </w:rPr>
        <w:t>будь-які дії особи, спрямовані на набуття, зміну або припинення речових прав на нерухоме майно та їх обтяжень, зареєстрованих у Державному реєстрі прав, вчиняються на підставі відомостей, що містяться в цьому реєстрі (частина п’ята статті 12 Закону України «</w:t>
      </w:r>
      <w:r w:rsidRPr="00BB5E6E">
        <w:rPr>
          <w:rStyle w:val="rvts23"/>
          <w:rFonts w:cs="Times New Roman"/>
          <w:color w:val="000000"/>
          <w:szCs w:val="28"/>
          <w:lang w:val="uk-UA"/>
        </w:rPr>
        <w:t>Про державну реєстрацію речових прав на нерухоме майно та їх обтяжень</w:t>
      </w:r>
      <w:r w:rsidRPr="00BB5E6E">
        <w:rPr>
          <w:rFonts w:cs="Times New Roman"/>
          <w:szCs w:val="28"/>
          <w:lang w:val="uk-UA"/>
        </w:rPr>
        <w:t xml:space="preserve">»).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На підтвердження державної реєстрації прав на нерухоме майно видаються такі документи як «рішення державного реєстратора» та «інформація з Державного реєстру прав», що мають однакову юридичну силу і використовуються відповідно до законодавства (стаття 21 Закону України «</w:t>
      </w:r>
      <w:r w:rsidRPr="00BB5E6E">
        <w:rPr>
          <w:rStyle w:val="rvts23"/>
          <w:rFonts w:cs="Times New Roman"/>
          <w:color w:val="000000"/>
          <w:szCs w:val="28"/>
          <w:lang w:val="uk-UA"/>
        </w:rPr>
        <w:t>Про державну реєстрацію речових прав на нерухоме майно та їх обтяжень</w:t>
      </w:r>
      <w:r w:rsidRPr="00BB5E6E">
        <w:rPr>
          <w:rFonts w:cs="Times New Roman"/>
          <w:szCs w:val="28"/>
          <w:lang w:val="uk-UA"/>
        </w:rPr>
        <w:t>»).</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Нотаріуси або посадова особа, яка вчиняє нотаріальні дії, має право витребовувати від фізичних та юридичних осіб відомості та документи, необхідні для вчинення нотаріальної дії (частина перша статті 46 Закону України «Про нотаріат»).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lastRenderedPageBreak/>
        <w:t xml:space="preserve">Так, угоди про відчуження та заставу майна, що підлягає реєстрації, посвідчуються за умови подання документів, що підтверджують право власності на майно, що відчужується або заставляється, або за наявності державної реєстрації права власності на таке майно у Державному реєстрі речових прав на нерухоме майно (частина перша статті 55 Закону України «Про нотаріат»).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При цьому, нотаріус під час вчинення нотаріальних дій з нерухомим майном, об’єктом незавершеного будівництва обов’язково використовує відомості Державного реєстру речових прав на нерухоме майно шляхом безпосереднього доступу до нього (частина перша 46-1 Закону України          «Про нотаріат»). </w:t>
      </w:r>
    </w:p>
    <w:p w:rsidR="00065252" w:rsidRPr="00BB5E6E" w:rsidRDefault="00065252" w:rsidP="00BB5E6E">
      <w:pPr>
        <w:spacing w:after="0" w:line="240" w:lineRule="auto"/>
        <w:ind w:firstLine="720"/>
        <w:jc w:val="both"/>
        <w:rPr>
          <w:rFonts w:cs="Times New Roman"/>
          <w:color w:val="000000"/>
          <w:szCs w:val="28"/>
          <w:lang w:val="uk-UA"/>
        </w:rPr>
      </w:pPr>
      <w:r w:rsidRPr="00BB5E6E">
        <w:rPr>
          <w:rFonts w:cs="Times New Roman"/>
          <w:color w:val="000000"/>
          <w:szCs w:val="28"/>
          <w:lang w:val="uk-UA"/>
        </w:rPr>
        <w:t xml:space="preserve">У разі посвідчення правочинів щодо відчуження та застави нерухомого майна, право власності на яке зареєстровано в Державному реєстрі речових прав на нерухоме майно, документи, що підтверджують державну реєстрацію прав на це майно, не подаються. </w:t>
      </w:r>
      <w:bookmarkStart w:id="26" w:name="n1441"/>
      <w:bookmarkEnd w:id="26"/>
    </w:p>
    <w:p w:rsidR="00065252" w:rsidRPr="00BB5E6E" w:rsidRDefault="00065252" w:rsidP="00BB5E6E">
      <w:pPr>
        <w:spacing w:after="0" w:line="240" w:lineRule="auto"/>
        <w:ind w:firstLine="720"/>
        <w:jc w:val="both"/>
        <w:rPr>
          <w:rFonts w:cs="Times New Roman"/>
          <w:color w:val="000000"/>
          <w:szCs w:val="28"/>
          <w:lang w:val="uk-UA"/>
        </w:rPr>
      </w:pPr>
      <w:r w:rsidRPr="00BB5E6E">
        <w:rPr>
          <w:rFonts w:cs="Times New Roman"/>
          <w:color w:val="000000"/>
          <w:szCs w:val="28"/>
          <w:lang w:val="uk-UA"/>
        </w:rPr>
        <w:t xml:space="preserve">У разі коли державну реєстрацію права власності на житловий будинок, квартиру, дачу, садовий будинок, гараж, інші будівлі і споруди, земельну ділянку, що відчужуються, відповідно до закону проведено без видачі документа, що посвідчує таке право, право власності підтверджується на підставі інформації з Державного реєстру речових прав на нерухоме майно, отриманої шляхом безпосереднього доступу до нього. </w:t>
      </w:r>
    </w:p>
    <w:p w:rsidR="00065252" w:rsidRPr="00BB5E6E" w:rsidRDefault="00065252" w:rsidP="00BB5E6E">
      <w:pPr>
        <w:spacing w:after="0" w:line="240" w:lineRule="auto"/>
        <w:ind w:firstLine="720"/>
        <w:jc w:val="both"/>
        <w:rPr>
          <w:rFonts w:cs="Times New Roman"/>
          <w:color w:val="000000"/>
          <w:szCs w:val="28"/>
        </w:rPr>
      </w:pPr>
      <w:r w:rsidRPr="00BB5E6E">
        <w:rPr>
          <w:rFonts w:cs="Times New Roman"/>
          <w:color w:val="000000"/>
          <w:szCs w:val="28"/>
          <w:lang w:val="uk-UA"/>
        </w:rPr>
        <w:t>Законопроектом пропонується передбачити видачу свідоцтва про право власності на нерухоме майно, що підтверджуватиме виникнення права власності при здійсненні державної реєстрації прав на нерухоме майно.</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У зв’язку з цим, члени Комітету вважають, що така законодавча пропозиція потребує внесення відповідних змін до частини першої статті 34 та частини дев'ятої</w:t>
      </w:r>
      <w:r w:rsidRPr="00BB5E6E">
        <w:rPr>
          <w:rFonts w:cs="Times New Roman"/>
          <w:szCs w:val="28"/>
        </w:rPr>
        <w:t xml:space="preserve"> </w:t>
      </w:r>
      <w:r w:rsidRPr="00BB5E6E">
        <w:rPr>
          <w:rFonts w:cs="Times New Roman"/>
          <w:szCs w:val="28"/>
          <w:lang w:val="uk-UA"/>
        </w:rPr>
        <w:t xml:space="preserve">статті 55 Закону України «Про нотаріат», які регулюють питання повноважень нотаріусів щодо вчинення нотаріальних дій та порядку посвідчення угод про відчуження та заставу майна. </w:t>
      </w:r>
    </w:p>
    <w:p w:rsidR="00065252" w:rsidRPr="00BB5E6E" w:rsidRDefault="00065252" w:rsidP="00BB5E6E">
      <w:pPr>
        <w:spacing w:after="0" w:line="240" w:lineRule="auto"/>
        <w:ind w:firstLine="720"/>
        <w:jc w:val="both"/>
        <w:rPr>
          <w:rFonts w:cs="Times New Roman"/>
          <w:szCs w:val="28"/>
          <w:lang w:val="uk-UA"/>
        </w:rPr>
      </w:pPr>
      <w:bookmarkStart w:id="27" w:name="n4295"/>
      <w:bookmarkStart w:id="28" w:name="n4292"/>
      <w:bookmarkStart w:id="29" w:name="n4293"/>
      <w:bookmarkStart w:id="30" w:name="n4890"/>
      <w:bookmarkEnd w:id="27"/>
      <w:bookmarkEnd w:id="28"/>
      <w:bookmarkEnd w:id="29"/>
      <w:bookmarkEnd w:id="30"/>
      <w:r w:rsidRPr="00BB5E6E">
        <w:rPr>
          <w:rFonts w:cs="Times New Roman"/>
          <w:szCs w:val="28"/>
          <w:lang w:val="uk-UA"/>
        </w:rPr>
        <w:t>Водночас, правовий режим власності, організація і діяльність нотаріату визначаються виключно законами України (пункт 7, 14 частини першої   статті</w:t>
      </w:r>
      <w:r w:rsidR="006856AB">
        <w:rPr>
          <w:rFonts w:cs="Times New Roman"/>
          <w:szCs w:val="28"/>
          <w:lang w:val="uk-UA"/>
        </w:rPr>
        <w:t> </w:t>
      </w:r>
      <w:r w:rsidRPr="00BB5E6E">
        <w:rPr>
          <w:rFonts w:cs="Times New Roman"/>
          <w:szCs w:val="28"/>
          <w:lang w:val="uk-UA"/>
        </w:rPr>
        <w:t xml:space="preserve">92).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Єдиним органом законодавчої влади в Україні є парламент – Верховна Рада України, до повноважень якої належить прийняття законів (стаття 75, пункт 3 частини першої статті 85 Конституції України). </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Необхідність врегулювання права власності на рівні законів підтверджується і правовими позиціями Конституційного Суду України, згідно з якими </w:t>
      </w:r>
      <w:r w:rsidR="006856AB">
        <w:rPr>
          <w:rFonts w:cs="Times New Roman"/>
          <w:szCs w:val="28"/>
          <w:lang w:val="uk-UA"/>
        </w:rPr>
        <w:t>«</w:t>
      </w:r>
      <w:r w:rsidRPr="00BB5E6E">
        <w:rPr>
          <w:rFonts w:cs="Times New Roman"/>
          <w:szCs w:val="28"/>
          <w:lang w:val="uk-UA"/>
        </w:rPr>
        <w:t>правовий режим власності, порядок і умови набуття та припинення права власності, а також права володіння, користування та розпорядження майном визначаються законами</w:t>
      </w:r>
      <w:r w:rsidR="006856AB">
        <w:rPr>
          <w:rFonts w:cs="Times New Roman"/>
          <w:szCs w:val="28"/>
          <w:lang w:val="uk-UA"/>
        </w:rPr>
        <w:t>»</w:t>
      </w:r>
      <w:r w:rsidRPr="00BB5E6E">
        <w:rPr>
          <w:rFonts w:cs="Times New Roman"/>
          <w:szCs w:val="28"/>
          <w:lang w:val="uk-UA"/>
        </w:rPr>
        <w:t xml:space="preserve"> (Рішення                                                       від 13 грудня 2000 року № 14-рп/2000); </w:t>
      </w:r>
      <w:r w:rsidR="006856AB">
        <w:rPr>
          <w:rFonts w:cs="Times New Roman"/>
          <w:szCs w:val="28"/>
          <w:lang w:val="uk-UA"/>
        </w:rPr>
        <w:t>«</w:t>
      </w:r>
      <w:r w:rsidRPr="00BB5E6E">
        <w:rPr>
          <w:rFonts w:cs="Times New Roman"/>
          <w:szCs w:val="28"/>
          <w:lang w:val="uk-UA"/>
        </w:rPr>
        <w:t>виключно законами України встановлюється правовий режим власності, в основі якого - конституційні положення, конкретизовані в законах, які можуть містити й певні особливості правового режиму тих чи інших форм власності</w:t>
      </w:r>
      <w:r w:rsidR="006856AB">
        <w:rPr>
          <w:rFonts w:cs="Times New Roman"/>
          <w:szCs w:val="28"/>
          <w:lang w:val="uk-UA"/>
        </w:rPr>
        <w:t>»</w:t>
      </w:r>
      <w:r w:rsidRPr="00BB5E6E">
        <w:rPr>
          <w:rFonts w:cs="Times New Roman"/>
          <w:szCs w:val="28"/>
          <w:lang w:val="uk-UA"/>
        </w:rPr>
        <w:t xml:space="preserve"> (Рішення                                                 від 20 червня 2007 року № 5-рп/2007); </w:t>
      </w:r>
      <w:r w:rsidR="006856AB">
        <w:rPr>
          <w:rFonts w:cs="Times New Roman"/>
          <w:szCs w:val="28"/>
          <w:lang w:val="uk-UA"/>
        </w:rPr>
        <w:t>«</w:t>
      </w:r>
      <w:r w:rsidRPr="00BB5E6E">
        <w:rPr>
          <w:rFonts w:cs="Times New Roman"/>
          <w:szCs w:val="28"/>
          <w:lang w:val="uk-UA"/>
        </w:rPr>
        <w:t xml:space="preserve">правовий режим власності означає </w:t>
      </w:r>
      <w:r w:rsidRPr="00BB5E6E">
        <w:rPr>
          <w:rFonts w:cs="Times New Roman"/>
          <w:szCs w:val="28"/>
          <w:lang w:val="uk-UA"/>
        </w:rPr>
        <w:lastRenderedPageBreak/>
        <w:t>врегулювання нормами закону земельних відносин, порядку та умов поділу земель на категорії, правове визначення форм власності на землю, порядку набуття і здійснення права власності, а також права постійного чи тимчасового землекористування щодо управління землями тощо, реалізацію та позбавлення цього права, функції, компетенцію органів державної влади і місцевого самоврядування</w:t>
      </w:r>
      <w:r w:rsidR="006856AB">
        <w:rPr>
          <w:rFonts w:cs="Times New Roman"/>
          <w:szCs w:val="28"/>
          <w:lang w:val="uk-UA"/>
        </w:rPr>
        <w:t>»</w:t>
      </w:r>
      <w:bookmarkStart w:id="31" w:name="_GoBack"/>
      <w:bookmarkEnd w:id="31"/>
      <w:r w:rsidRPr="00BB5E6E">
        <w:rPr>
          <w:rFonts w:cs="Times New Roman"/>
          <w:szCs w:val="28"/>
          <w:lang w:val="uk-UA"/>
        </w:rPr>
        <w:t xml:space="preserve"> (Рішення від 22 вересня 2005 року № 5-рп/2005).</w:t>
      </w:r>
    </w:p>
    <w:p w:rsidR="00065252" w:rsidRPr="00BB5E6E" w:rsidRDefault="00065252" w:rsidP="00BB5E6E">
      <w:pPr>
        <w:spacing w:after="0" w:line="240" w:lineRule="auto"/>
        <w:ind w:firstLine="720"/>
        <w:jc w:val="both"/>
        <w:rPr>
          <w:rFonts w:cs="Times New Roman"/>
          <w:szCs w:val="28"/>
          <w:lang w:val="uk-UA"/>
        </w:rPr>
      </w:pPr>
      <w:bookmarkStart w:id="32" w:name="o39"/>
      <w:bookmarkStart w:id="33" w:name="o40"/>
      <w:bookmarkEnd w:id="32"/>
      <w:bookmarkEnd w:id="33"/>
      <w:r w:rsidRPr="00BB5E6E">
        <w:rPr>
          <w:rFonts w:cs="Times New Roman"/>
          <w:szCs w:val="28"/>
          <w:lang w:val="uk-UA"/>
        </w:rPr>
        <w:t xml:space="preserve">Принагідно зазначити, що </w:t>
      </w:r>
      <w:bookmarkStart w:id="34" w:name="n20"/>
      <w:bookmarkEnd w:id="34"/>
      <w:r w:rsidRPr="00BB5E6E">
        <w:rPr>
          <w:rFonts w:cs="Times New Roman"/>
          <w:szCs w:val="28"/>
          <w:lang w:val="uk-UA"/>
        </w:rPr>
        <w:t>конституційне та законодавче регулювання права власності узгоджується із міжнародно-правовими актами.</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 xml:space="preserve">Відповідно до частини першої статті 9 Конституції України, </w:t>
      </w:r>
      <w:bookmarkStart w:id="35" w:name="n4194"/>
      <w:bookmarkEnd w:id="35"/>
      <w:r w:rsidRPr="00BB5E6E">
        <w:rPr>
          <w:rFonts w:cs="Times New Roman"/>
          <w:szCs w:val="28"/>
          <w:lang w:val="uk-UA"/>
        </w:rPr>
        <w:t>чинні міжнародні договори, згода на обов'язковість яких надана Верховною Радою України, є частиною національного законодавства України. Разом з тим, статтею 9 Закону України «Про виконання рішень та застосування практики Європейського суду з прав людини» визначено Конвенцію</w:t>
      </w:r>
      <w:r w:rsidRPr="00BB5E6E">
        <w:rPr>
          <w:rStyle w:val="rvts23"/>
          <w:rFonts w:cs="Times New Roman"/>
          <w:color w:val="000000"/>
          <w:szCs w:val="28"/>
          <w:lang w:val="uk-UA"/>
        </w:rPr>
        <w:t xml:space="preserve"> про захист прав людини і основоположних свобод від 4 листопада 1950 року</w:t>
      </w:r>
      <w:r w:rsidRPr="00BB5E6E">
        <w:rPr>
          <w:rFonts w:cs="Times New Roman"/>
          <w:szCs w:val="28"/>
          <w:lang w:val="uk-UA"/>
        </w:rPr>
        <w:t xml:space="preserve"> та практику Європейського суду з прав людини як джерело права.</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Так, згідно із статтею 1 Протоколу першого до Конвенції</w:t>
      </w:r>
      <w:r w:rsidRPr="00BB5E6E">
        <w:rPr>
          <w:rStyle w:val="rvts23"/>
          <w:rFonts w:cs="Times New Roman"/>
          <w:color w:val="000000"/>
          <w:szCs w:val="28"/>
          <w:lang w:val="uk-UA"/>
        </w:rPr>
        <w:t xml:space="preserve"> про захист прав людини і основоположних свобод від 4 листопада 1950 року</w:t>
      </w:r>
      <w:r w:rsidRPr="00BB5E6E">
        <w:rPr>
          <w:rFonts w:cs="Times New Roman"/>
          <w:szCs w:val="28"/>
          <w:lang w:val="uk-UA"/>
        </w:rPr>
        <w:t xml:space="preserve"> </w:t>
      </w:r>
      <w:bookmarkStart w:id="36" w:name="n2"/>
      <w:bookmarkEnd w:id="36"/>
      <w:r w:rsidRPr="00BB5E6E">
        <w:rPr>
          <w:rFonts w:cs="Times New Roman"/>
          <w:szCs w:val="28"/>
          <w:lang w:val="uk-UA"/>
        </w:rPr>
        <w:t xml:space="preserve">                                   (</w:t>
      </w:r>
      <w:r w:rsidRPr="00BB5E6E">
        <w:rPr>
          <w:rStyle w:val="rvts23"/>
          <w:rFonts w:cs="Times New Roman"/>
          <w:color w:val="000000"/>
          <w:szCs w:val="28"/>
          <w:lang w:val="uk-UA"/>
        </w:rPr>
        <w:t>далі – Конвенція</w:t>
      </w:r>
      <w:r w:rsidRPr="00BB5E6E">
        <w:rPr>
          <w:rFonts w:cs="Times New Roman"/>
          <w:szCs w:val="28"/>
          <w:lang w:val="uk-UA"/>
        </w:rPr>
        <w:t xml:space="preserve">) кожна фізична або юридична особа має право мирно володіти своїм майном. Ніхто не може бути позбавлений своєї власності інакше як в інтересах суспільства і на умовах, передбачених законом і загальними принципами міжнародного права. </w:t>
      </w:r>
      <w:bookmarkStart w:id="37" w:name="o14"/>
      <w:bookmarkEnd w:id="37"/>
      <w:r w:rsidRPr="00BB5E6E">
        <w:rPr>
          <w:rFonts w:cs="Times New Roman"/>
          <w:szCs w:val="28"/>
          <w:lang w:val="uk-UA"/>
        </w:rPr>
        <w:t xml:space="preserve">Проте попередні положення жодним чином не обмежують право держави вводити в дію такі закони, які вона вважає за необхідне, щоб здійснювати контроль за користуванням майном відповідно до загальних  інтересів або для забезпечення сплати податків чи інших зборів або штрафів. </w:t>
      </w:r>
    </w:p>
    <w:p w:rsidR="00065252" w:rsidRPr="00BB5E6E" w:rsidRDefault="00065252" w:rsidP="00BB5E6E">
      <w:pPr>
        <w:spacing w:after="0" w:line="240" w:lineRule="auto"/>
        <w:ind w:firstLine="720"/>
        <w:jc w:val="both"/>
        <w:rPr>
          <w:rFonts w:cs="Times New Roman"/>
          <w:szCs w:val="28"/>
        </w:rPr>
      </w:pPr>
      <w:r w:rsidRPr="00BB5E6E">
        <w:rPr>
          <w:rFonts w:cs="Times New Roman"/>
          <w:szCs w:val="28"/>
          <w:lang w:val="uk-UA"/>
        </w:rPr>
        <w:t>В основу статті 1 Протоколу першого до Конвенції покладено два особливих рішення Європейського Суду з прав людини – «Маркс проти Німеччини» та «Спорронг і Лоннрот проти Швеції». У рішенні у справі «Маркс проти Німеччини» визначено мету статті 1 Протоколу                    першого – визнання права будь-якої особи на безперешкодне користування своїм майном.</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У рішенні у справі «Спорронг і Лоннрот проти Швеції» визначено основні вимоги стосовно застосування статті 1 Протоколу першого щодо захисту права власності. Як встановив Європейський Суд з прав людини, положення статті 1 Протоколу першого передбачають такі правила захисту права власності: перша норма, виражена в першому реченні першого абзацу, має загальний характер і встановлює принцип безперешкодного користування майном, друга норма, зафіксована в другому реченні того ж абзацу, регулює випадки позбавлення власності, встановлюючи певні умови, у третій нормі, що зафіксована в другому абзаці, за державами-учасницями визнається право контролю над володінням власністю відповідно до загальних інтересів та право на запровадження законів, необхідних для цього.</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t>Таким чином, загальна спрямованість Законопроекту узгоджується з зазначеними конституційними положеннями та міжнародно-правовими актами.</w:t>
      </w:r>
    </w:p>
    <w:p w:rsidR="00065252" w:rsidRPr="00BB5E6E" w:rsidRDefault="00065252" w:rsidP="00BB5E6E">
      <w:pPr>
        <w:spacing w:after="0" w:line="240" w:lineRule="auto"/>
        <w:ind w:firstLine="720"/>
        <w:jc w:val="both"/>
        <w:rPr>
          <w:rFonts w:cs="Times New Roman"/>
          <w:szCs w:val="28"/>
          <w:lang w:val="uk-UA"/>
        </w:rPr>
      </w:pPr>
      <w:r w:rsidRPr="00BB5E6E">
        <w:rPr>
          <w:rFonts w:cs="Times New Roman"/>
          <w:szCs w:val="28"/>
          <w:lang w:val="uk-UA"/>
        </w:rPr>
        <w:lastRenderedPageBreak/>
        <w:t>Враховуючи викладене, Комітет дійшов висновку, що</w:t>
      </w:r>
      <w:r w:rsidRPr="00BB5E6E">
        <w:rPr>
          <w:rStyle w:val="a6"/>
          <w:b w:val="0"/>
          <w:szCs w:val="28"/>
          <w:lang w:val="uk-UA"/>
        </w:rPr>
        <w:t xml:space="preserve"> проект Закону</w:t>
      </w:r>
      <w:r w:rsidRPr="00BB5E6E">
        <w:rPr>
          <w:rFonts w:cs="Times New Roman"/>
          <w:szCs w:val="28"/>
          <w:lang w:val="uk-UA"/>
        </w:rPr>
        <w:t xml:space="preserve"> про внесення змін до деяких законодавчих актів України щодо визначення свідоцтва про право власності одним з правовстановлюючих документів на нерухоме майно (реєстр. № 4043 від 9 лютого 2016 року), поданий народним депутатом України Шевченком О.Л., не суперечить положенням Конституції України.</w:t>
      </w:r>
    </w:p>
    <w:p w:rsidR="00B45EB5" w:rsidRPr="00BB5E6E" w:rsidRDefault="00B45EB5" w:rsidP="00BB5E6E">
      <w:pPr>
        <w:spacing w:after="0" w:line="240" w:lineRule="auto"/>
        <w:jc w:val="both"/>
        <w:rPr>
          <w:rFonts w:eastAsia="Times New Roman" w:cs="Times New Roman"/>
          <w:szCs w:val="28"/>
          <w:lang w:val="uk-UA" w:eastAsia="ru-RU"/>
        </w:rPr>
      </w:pPr>
      <w:bookmarkStart w:id="38" w:name="n1729"/>
      <w:bookmarkStart w:id="39" w:name="n1739"/>
      <w:bookmarkEnd w:id="38"/>
      <w:bookmarkEnd w:id="39"/>
    </w:p>
    <w:p w:rsidR="00B45EB5" w:rsidRPr="00BB5E6E" w:rsidRDefault="00B45EB5" w:rsidP="00BB5E6E">
      <w:pPr>
        <w:spacing w:after="0" w:line="240" w:lineRule="auto"/>
        <w:jc w:val="both"/>
        <w:rPr>
          <w:rFonts w:eastAsia="Times New Roman" w:cs="Times New Roman"/>
          <w:szCs w:val="28"/>
          <w:lang w:eastAsia="ru-RU"/>
        </w:rPr>
      </w:pPr>
    </w:p>
    <w:p w:rsidR="005204CF" w:rsidRPr="00BB5E6E" w:rsidRDefault="00BB5E6E" w:rsidP="00BB5E6E">
      <w:pPr>
        <w:spacing w:after="0" w:line="240" w:lineRule="auto"/>
        <w:jc w:val="both"/>
        <w:rPr>
          <w:rFonts w:eastAsia="Times New Roman" w:cs="Times New Roman"/>
          <w:szCs w:val="28"/>
          <w:lang w:val="uk-UA" w:eastAsia="ru-RU"/>
        </w:rPr>
      </w:pPr>
      <w:r w:rsidRPr="00BB5E6E">
        <w:rPr>
          <w:rFonts w:eastAsia="Times New Roman" w:cs="Times New Roman"/>
          <w:b/>
          <w:szCs w:val="28"/>
          <w:lang w:val="uk-UA" w:eastAsia="ru-RU"/>
        </w:rPr>
        <w:t>Голова Комітету</w:t>
      </w:r>
      <w:r w:rsidRPr="00BB5E6E">
        <w:rPr>
          <w:rFonts w:eastAsia="Times New Roman" w:cs="Times New Roman"/>
          <w:b/>
          <w:szCs w:val="28"/>
          <w:lang w:val="uk-UA" w:eastAsia="ru-RU"/>
        </w:rPr>
        <w:tab/>
      </w:r>
      <w:r w:rsidRPr="00BB5E6E">
        <w:rPr>
          <w:rFonts w:eastAsia="Times New Roman" w:cs="Times New Roman"/>
          <w:b/>
          <w:szCs w:val="28"/>
          <w:lang w:val="uk-UA" w:eastAsia="ru-RU"/>
        </w:rPr>
        <w:tab/>
      </w:r>
      <w:r w:rsidRPr="00BB5E6E">
        <w:rPr>
          <w:rFonts w:eastAsia="Times New Roman" w:cs="Times New Roman"/>
          <w:b/>
          <w:szCs w:val="28"/>
          <w:lang w:val="uk-UA" w:eastAsia="ru-RU"/>
        </w:rPr>
        <w:tab/>
      </w:r>
      <w:r w:rsidRPr="00BB5E6E">
        <w:rPr>
          <w:rFonts w:eastAsia="Times New Roman" w:cs="Times New Roman"/>
          <w:b/>
          <w:szCs w:val="28"/>
          <w:lang w:val="uk-UA" w:eastAsia="ru-RU"/>
        </w:rPr>
        <w:tab/>
      </w:r>
      <w:r w:rsidR="00B45EB5" w:rsidRPr="00BB5E6E">
        <w:rPr>
          <w:rFonts w:eastAsia="Times New Roman" w:cs="Times New Roman"/>
          <w:b/>
          <w:szCs w:val="28"/>
          <w:lang w:val="uk-UA" w:eastAsia="ru-RU"/>
        </w:rPr>
        <w:tab/>
      </w:r>
      <w:r w:rsidRPr="00BB5E6E">
        <w:rPr>
          <w:rFonts w:eastAsia="Times New Roman" w:cs="Times New Roman"/>
          <w:b/>
          <w:szCs w:val="28"/>
          <w:lang w:val="uk-UA" w:eastAsia="ru-RU"/>
        </w:rPr>
        <w:tab/>
      </w:r>
      <w:r w:rsidRPr="00BB5E6E">
        <w:rPr>
          <w:rFonts w:eastAsia="Times New Roman" w:cs="Times New Roman"/>
          <w:b/>
          <w:szCs w:val="28"/>
          <w:lang w:val="uk-UA" w:eastAsia="ru-RU"/>
        </w:rPr>
        <w:tab/>
      </w:r>
      <w:r w:rsidR="00B45EB5" w:rsidRPr="00BB5E6E">
        <w:rPr>
          <w:rFonts w:eastAsia="Times New Roman" w:cs="Times New Roman"/>
          <w:b/>
          <w:szCs w:val="28"/>
          <w:lang w:val="uk-UA" w:eastAsia="ru-RU"/>
        </w:rPr>
        <w:t>Р.П. КНЯЗЕВИЧ</w:t>
      </w:r>
    </w:p>
    <w:sectPr w:rsidR="005204CF" w:rsidRPr="00BB5E6E" w:rsidSect="00BB5E6E">
      <w:headerReference w:type="even" r:id="rId7"/>
      <w:headerReference w:type="default" r:id="rId8"/>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3630" w:rsidRDefault="00F13630">
      <w:pPr>
        <w:spacing w:after="0" w:line="240" w:lineRule="auto"/>
      </w:pPr>
      <w:r>
        <w:separator/>
      </w:r>
    </w:p>
  </w:endnote>
  <w:endnote w:type="continuationSeparator" w:id="0">
    <w:p w:rsidR="00F13630" w:rsidRDefault="00F13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3630" w:rsidRDefault="00F13630">
      <w:pPr>
        <w:spacing w:after="0" w:line="240" w:lineRule="auto"/>
      </w:pPr>
      <w:r>
        <w:separator/>
      </w:r>
    </w:p>
  </w:footnote>
  <w:footnote w:type="continuationSeparator" w:id="0">
    <w:p w:rsidR="00F13630" w:rsidRDefault="00F13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234" w:rsidRDefault="00F579B3" w:rsidP="0091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181234" w:rsidRDefault="00F1363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234" w:rsidRDefault="00F579B3" w:rsidP="009139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856AB">
      <w:rPr>
        <w:rStyle w:val="a5"/>
        <w:noProof/>
      </w:rPr>
      <w:t>6</w:t>
    </w:r>
    <w:r>
      <w:rPr>
        <w:rStyle w:val="a5"/>
      </w:rPr>
      <w:fldChar w:fldCharType="end"/>
    </w:r>
  </w:p>
  <w:p w:rsidR="00181234" w:rsidRDefault="00F1363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EB5"/>
    <w:rsid w:val="00065252"/>
    <w:rsid w:val="005204CF"/>
    <w:rsid w:val="006856AB"/>
    <w:rsid w:val="00B45EB5"/>
    <w:rsid w:val="00BB5E6E"/>
    <w:rsid w:val="00F13630"/>
    <w:rsid w:val="00F579B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6F862"/>
  <w15:chartTrackingRefBased/>
  <w15:docId w15:val="{1E4284ED-0F3E-4FA5-9FEC-427F41769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45EB5"/>
    <w:pPr>
      <w:tabs>
        <w:tab w:val="center" w:pos="4819"/>
        <w:tab w:val="right" w:pos="9639"/>
      </w:tabs>
      <w:spacing w:after="0" w:line="240" w:lineRule="auto"/>
    </w:pPr>
    <w:rPr>
      <w:rFonts w:eastAsia="Times New Roman" w:cs="Times New Roman"/>
      <w:szCs w:val="20"/>
      <w:lang w:val="uk-UA" w:eastAsia="ru-RU"/>
    </w:rPr>
  </w:style>
  <w:style w:type="character" w:customStyle="1" w:styleId="a4">
    <w:name w:val="Верхній колонтитул Знак"/>
    <w:basedOn w:val="a0"/>
    <w:link w:val="a3"/>
    <w:rsid w:val="00B45EB5"/>
    <w:rPr>
      <w:rFonts w:eastAsia="Times New Roman" w:cs="Times New Roman"/>
      <w:szCs w:val="20"/>
      <w:lang w:eastAsia="ru-RU"/>
    </w:rPr>
  </w:style>
  <w:style w:type="character" w:styleId="a5">
    <w:name w:val="page number"/>
    <w:basedOn w:val="a0"/>
    <w:rsid w:val="00B45EB5"/>
  </w:style>
  <w:style w:type="character" w:styleId="a6">
    <w:name w:val="Strong"/>
    <w:qFormat/>
    <w:rsid w:val="00065252"/>
    <w:rPr>
      <w:rFonts w:cs="Times New Roman"/>
      <w:b/>
      <w:bCs/>
    </w:rPr>
  </w:style>
  <w:style w:type="character" w:customStyle="1" w:styleId="rvts23">
    <w:name w:val="rvts23"/>
    <w:basedOn w:val="a0"/>
    <w:rsid w:val="00065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388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3.rada.gov.ua/rada/show/1952-15"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9403</Words>
  <Characters>5360</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Іоффе Світлана Борисівна</cp:lastModifiedBy>
  <cp:revision>2</cp:revision>
  <dcterms:created xsi:type="dcterms:W3CDTF">2016-09-15T14:19:00Z</dcterms:created>
  <dcterms:modified xsi:type="dcterms:W3CDTF">2016-09-15T14:19:00Z</dcterms:modified>
</cp:coreProperties>
</file>