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71B" w:rsidRDefault="0036771B" w:rsidP="0036771B">
      <w:pPr>
        <w:spacing w:after="0"/>
        <w:jc w:val="right"/>
        <w:rPr>
          <w:szCs w:val="28"/>
          <w:lang w:val="en-US"/>
        </w:rPr>
      </w:pPr>
    </w:p>
    <w:p w:rsidR="0036771B" w:rsidRPr="00023C56" w:rsidRDefault="0036771B" w:rsidP="0036771B">
      <w:pPr>
        <w:spacing w:after="0"/>
        <w:jc w:val="right"/>
        <w:rPr>
          <w:szCs w:val="28"/>
        </w:rPr>
      </w:pPr>
      <w:r w:rsidRPr="00023C56">
        <w:rPr>
          <w:szCs w:val="28"/>
        </w:rPr>
        <w:t>До реєстр. № 4</w:t>
      </w:r>
      <w:r>
        <w:rPr>
          <w:szCs w:val="28"/>
          <w:lang w:val="ru-RU"/>
        </w:rPr>
        <w:t>187</w:t>
      </w:r>
      <w:r>
        <w:rPr>
          <w:szCs w:val="28"/>
        </w:rPr>
        <w:t xml:space="preserve"> </w:t>
      </w:r>
    </w:p>
    <w:p w:rsidR="0036771B" w:rsidRPr="00023C56" w:rsidRDefault="0036771B" w:rsidP="003D4732">
      <w:pPr>
        <w:spacing w:after="0"/>
        <w:jc w:val="right"/>
        <w:rPr>
          <w:szCs w:val="28"/>
        </w:rPr>
      </w:pPr>
      <w:r>
        <w:rPr>
          <w:szCs w:val="28"/>
        </w:rPr>
        <w:t xml:space="preserve"> від </w:t>
      </w:r>
      <w:r w:rsidR="003D4732">
        <w:rPr>
          <w:szCs w:val="28"/>
        </w:rPr>
        <w:t>10</w:t>
      </w:r>
      <w:r w:rsidRPr="00023C56">
        <w:rPr>
          <w:szCs w:val="28"/>
        </w:rPr>
        <w:t xml:space="preserve"> </w:t>
      </w:r>
      <w:r w:rsidR="003D4732">
        <w:rPr>
          <w:szCs w:val="28"/>
        </w:rPr>
        <w:t>березня</w:t>
      </w:r>
      <w:r w:rsidRPr="00023C56">
        <w:rPr>
          <w:szCs w:val="28"/>
        </w:rPr>
        <w:t xml:space="preserve"> 2016 р.</w:t>
      </w:r>
    </w:p>
    <w:p w:rsidR="0036771B" w:rsidRPr="00023C56" w:rsidRDefault="0036771B" w:rsidP="0036771B">
      <w:pPr>
        <w:jc w:val="right"/>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Pr>
        <w:spacing w:after="0"/>
        <w:ind w:firstLine="0"/>
        <w:jc w:val="center"/>
        <w:rPr>
          <w:b/>
          <w:szCs w:val="28"/>
        </w:rPr>
      </w:pPr>
      <w:r w:rsidRPr="00023C56">
        <w:rPr>
          <w:b/>
          <w:szCs w:val="28"/>
        </w:rPr>
        <w:t>ВИСНОВОК</w:t>
      </w:r>
    </w:p>
    <w:p w:rsidR="0036771B" w:rsidRPr="00023C56" w:rsidRDefault="0036771B" w:rsidP="0036771B">
      <w:pPr>
        <w:spacing w:after="0"/>
        <w:ind w:firstLine="0"/>
        <w:jc w:val="center"/>
        <w:rPr>
          <w:szCs w:val="28"/>
        </w:rPr>
      </w:pPr>
      <w:r w:rsidRPr="00023C56">
        <w:rPr>
          <w:szCs w:val="28"/>
        </w:rPr>
        <w:t>щодо результатів здійснення</w:t>
      </w:r>
    </w:p>
    <w:p w:rsidR="0036771B" w:rsidRPr="00023C56" w:rsidRDefault="0036771B" w:rsidP="0036771B">
      <w:pPr>
        <w:spacing w:after="0"/>
        <w:ind w:firstLine="0"/>
        <w:jc w:val="center"/>
        <w:rPr>
          <w:szCs w:val="28"/>
        </w:rPr>
      </w:pPr>
      <w:r w:rsidRPr="00023C56">
        <w:rPr>
          <w:szCs w:val="28"/>
        </w:rPr>
        <w:t>антикорупційної експертизи</w:t>
      </w:r>
    </w:p>
    <w:p w:rsidR="0036771B" w:rsidRPr="00023C56" w:rsidRDefault="0036771B" w:rsidP="0036771B">
      <w:pPr>
        <w:spacing w:after="0"/>
        <w:ind w:firstLine="0"/>
        <w:jc w:val="center"/>
        <w:rPr>
          <w:szCs w:val="28"/>
        </w:rPr>
      </w:pPr>
      <w:r w:rsidRPr="00023C56">
        <w:rPr>
          <w:szCs w:val="28"/>
        </w:rPr>
        <w:t>проекту нормативно-правового акта</w:t>
      </w:r>
    </w:p>
    <w:p w:rsidR="0036771B" w:rsidRPr="00847824" w:rsidRDefault="0036771B" w:rsidP="0036771B">
      <w:pPr>
        <w:pStyle w:val="3"/>
        <w:shd w:val="clear" w:color="auto" w:fill="FFFFFF"/>
        <w:spacing w:before="0" w:line="193" w:lineRule="atLeast"/>
        <w:ind w:left="709"/>
        <w:jc w:val="both"/>
        <w:textAlignment w:val="baseline"/>
        <w:rPr>
          <w:rFonts w:ascii="Calibri" w:hAnsi="Calibri" w:cs="Arial"/>
          <w:b w:val="0"/>
          <w:bCs w:val="0"/>
          <w:color w:val="auto"/>
          <w:lang w:val="uk-UA"/>
        </w:rPr>
      </w:pPr>
    </w:p>
    <w:p w:rsidR="001B3839" w:rsidRPr="001B3839" w:rsidRDefault="0036771B" w:rsidP="005B3D1D">
      <w:pPr>
        <w:pStyle w:val="3"/>
        <w:shd w:val="clear" w:color="auto" w:fill="FFFFFF"/>
        <w:spacing w:before="0" w:after="120" w:line="207" w:lineRule="atLeast"/>
        <w:ind w:left="709"/>
        <w:jc w:val="both"/>
        <w:textAlignment w:val="baseline"/>
        <w:rPr>
          <w:rFonts w:asciiTheme="minorHAnsi" w:hAnsiTheme="minorHAnsi" w:cs="Arial"/>
          <w:b w:val="0"/>
          <w:bCs w:val="0"/>
          <w:color w:val="333333"/>
          <w:lang w:val="uk-UA"/>
        </w:rPr>
      </w:pPr>
      <w:r w:rsidRPr="001B3839">
        <w:rPr>
          <w:rFonts w:asciiTheme="minorHAnsi" w:hAnsiTheme="minorHAnsi" w:cs="Arial"/>
          <w:b w:val="0"/>
          <w:bCs w:val="0"/>
          <w:color w:val="auto"/>
          <w:lang w:val="uk-UA"/>
        </w:rPr>
        <w:t xml:space="preserve">Назва проекту акта: </w:t>
      </w:r>
      <w:r w:rsidR="001B3839" w:rsidRPr="001B3839">
        <w:rPr>
          <w:rFonts w:asciiTheme="minorHAnsi" w:hAnsiTheme="minorHAnsi" w:cs="Arial"/>
          <w:b w:val="0"/>
          <w:bCs w:val="0"/>
          <w:color w:val="333333"/>
          <w:lang w:val="uk-UA"/>
        </w:rPr>
        <w:t>Проект Закону про внесення змін до деяких законів України щодо вдосконалення державного регулювання процесу будівництва</w:t>
      </w:r>
    </w:p>
    <w:p w:rsidR="0036771B" w:rsidRPr="00847824" w:rsidRDefault="0036771B" w:rsidP="001B3839">
      <w:pPr>
        <w:pStyle w:val="3"/>
        <w:shd w:val="clear" w:color="auto" w:fill="FFFFFF"/>
        <w:spacing w:before="0" w:after="120" w:line="168" w:lineRule="atLeast"/>
        <w:ind w:left="709"/>
        <w:jc w:val="both"/>
        <w:textAlignment w:val="baseline"/>
        <w:rPr>
          <w:rFonts w:ascii="Calibri" w:hAnsi="Calibri" w:cs="Arial"/>
          <w:b w:val="0"/>
          <w:bCs w:val="0"/>
          <w:color w:val="auto"/>
          <w:lang w:val="uk-UA"/>
        </w:rPr>
      </w:pPr>
      <w:r w:rsidRPr="00847824">
        <w:rPr>
          <w:rFonts w:ascii="Calibri" w:hAnsi="Calibri" w:cs="Arial"/>
          <w:b w:val="0"/>
          <w:bCs w:val="0"/>
          <w:color w:val="auto"/>
          <w:lang w:val="uk-UA"/>
        </w:rPr>
        <w:t>Реєстр. № 4</w:t>
      </w:r>
      <w:r w:rsidR="003905EB">
        <w:rPr>
          <w:rFonts w:ascii="Calibri" w:hAnsi="Calibri" w:cs="Arial"/>
          <w:b w:val="0"/>
          <w:bCs w:val="0"/>
          <w:color w:val="auto"/>
          <w:lang w:val="uk-UA"/>
        </w:rPr>
        <w:t>187 від 10</w:t>
      </w:r>
      <w:r w:rsidRPr="00847824">
        <w:rPr>
          <w:rFonts w:ascii="Calibri" w:hAnsi="Calibri" w:cs="Arial"/>
          <w:b w:val="0"/>
          <w:bCs w:val="0"/>
          <w:color w:val="auto"/>
          <w:lang w:val="uk-UA"/>
        </w:rPr>
        <w:t xml:space="preserve"> </w:t>
      </w:r>
      <w:r w:rsidR="003905EB">
        <w:rPr>
          <w:rFonts w:ascii="Calibri" w:hAnsi="Calibri" w:cs="Arial"/>
          <w:b w:val="0"/>
          <w:bCs w:val="0"/>
          <w:color w:val="auto"/>
          <w:lang w:val="uk-UA"/>
        </w:rPr>
        <w:t>березня</w:t>
      </w:r>
      <w:r w:rsidRPr="00847824">
        <w:rPr>
          <w:rFonts w:ascii="Calibri" w:hAnsi="Calibri" w:cs="Arial"/>
          <w:b w:val="0"/>
          <w:bCs w:val="0"/>
          <w:color w:val="auto"/>
          <w:lang w:val="uk-UA"/>
        </w:rPr>
        <w:t xml:space="preserve"> 2016 р.</w:t>
      </w:r>
    </w:p>
    <w:p w:rsidR="0036771B" w:rsidRPr="00847824" w:rsidRDefault="0036771B" w:rsidP="00D00E11">
      <w:pPr>
        <w:shd w:val="clear" w:color="auto" w:fill="FFFFFF"/>
        <w:spacing w:before="120" w:after="0" w:line="270" w:lineRule="atLeast"/>
        <w:ind w:left="720" w:hanging="11"/>
        <w:rPr>
          <w:rFonts w:ascii="Calibri" w:hAnsi="Calibri" w:cs="Arial"/>
          <w:sz w:val="24"/>
          <w:szCs w:val="24"/>
        </w:rPr>
      </w:pPr>
      <w:r w:rsidRPr="00847824">
        <w:rPr>
          <w:rFonts w:ascii="Calibri" w:hAnsi="Calibri" w:cs="Arial"/>
          <w:sz w:val="24"/>
          <w:szCs w:val="24"/>
        </w:rPr>
        <w:t xml:space="preserve">Суб’єкт права законодавчої ініціативи: </w:t>
      </w:r>
      <w:r>
        <w:rPr>
          <w:rFonts w:ascii="Calibri" w:hAnsi="Calibri" w:cs="Arial"/>
          <w:sz w:val="24"/>
          <w:szCs w:val="24"/>
        </w:rPr>
        <w:t xml:space="preserve">народний депутат України </w:t>
      </w:r>
      <w:r w:rsidR="00D00E11">
        <w:rPr>
          <w:rFonts w:ascii="Calibri" w:hAnsi="Calibri" w:cs="Arial"/>
          <w:sz w:val="24"/>
          <w:szCs w:val="24"/>
        </w:rPr>
        <w:t>Голуб В.В.</w:t>
      </w:r>
    </w:p>
    <w:p w:rsidR="0036771B" w:rsidRPr="00574EE9" w:rsidRDefault="0036771B" w:rsidP="00574EE9">
      <w:pPr>
        <w:shd w:val="clear" w:color="auto" w:fill="FFFFFF"/>
        <w:spacing w:before="120" w:after="0" w:line="270" w:lineRule="atLeast"/>
        <w:ind w:left="720" w:hanging="11"/>
        <w:rPr>
          <w:rFonts w:asciiTheme="minorHAnsi" w:hAnsiTheme="minorHAnsi"/>
          <w:sz w:val="24"/>
          <w:szCs w:val="24"/>
          <w:u w:val="single"/>
        </w:rPr>
      </w:pPr>
      <w:r w:rsidRPr="00847824">
        <w:rPr>
          <w:rFonts w:ascii="Calibri" w:hAnsi="Calibri" w:cs="Arial"/>
          <w:sz w:val="24"/>
          <w:szCs w:val="24"/>
        </w:rPr>
        <w:t xml:space="preserve">Головний комітет з підготовки і попереднього розгляду – </w:t>
      </w:r>
      <w:r w:rsidRPr="00847824">
        <w:rPr>
          <w:rFonts w:ascii="Calibri" w:hAnsi="Calibri" w:cs="Arial"/>
          <w:sz w:val="24"/>
          <w:szCs w:val="24"/>
          <w:shd w:val="clear" w:color="auto" w:fill="FFFFFF"/>
        </w:rPr>
        <w:t xml:space="preserve">Комітет з питань </w:t>
      </w:r>
      <w:r w:rsidR="00574EE9" w:rsidRPr="00574EE9">
        <w:rPr>
          <w:rFonts w:asciiTheme="minorHAnsi" w:hAnsiTheme="minorHAnsi" w:cs="Arial"/>
          <w:sz w:val="24"/>
          <w:szCs w:val="24"/>
          <w:shd w:val="clear" w:color="auto" w:fill="FFFFFF"/>
        </w:rPr>
        <w:t>будівництва, містобудування і житлово-комунального господарства</w:t>
      </w:r>
    </w:p>
    <w:p w:rsidR="00574EE9" w:rsidRDefault="00574EE9" w:rsidP="0036771B">
      <w:pPr>
        <w:rPr>
          <w:szCs w:val="28"/>
          <w:u w:val="single"/>
        </w:rPr>
      </w:pPr>
    </w:p>
    <w:p w:rsidR="0036771B" w:rsidRDefault="0036771B" w:rsidP="003F6573">
      <w:pPr>
        <w:rPr>
          <w:rFonts w:cs="Times New Roman"/>
          <w:b/>
          <w:szCs w:val="28"/>
        </w:rPr>
      </w:pPr>
      <w:r>
        <w:rPr>
          <w:szCs w:val="28"/>
          <w:u w:val="single"/>
        </w:rPr>
        <w:t xml:space="preserve">У проекті акта виявлено </w:t>
      </w:r>
      <w:proofErr w:type="spellStart"/>
      <w:r>
        <w:rPr>
          <w:szCs w:val="28"/>
          <w:u w:val="single"/>
        </w:rPr>
        <w:t>корупціогенні</w:t>
      </w:r>
      <w:proofErr w:type="spellEnd"/>
      <w:r>
        <w:rPr>
          <w:szCs w:val="28"/>
          <w:u w:val="single"/>
        </w:rPr>
        <w:t xml:space="preserve"> фактори – проект акта не відповідає вимогам антикорупційного законодавства </w:t>
      </w:r>
      <w:r w:rsidRPr="00023C56">
        <w:rPr>
          <w:szCs w:val="28"/>
        </w:rPr>
        <w:t xml:space="preserve">(рішення Комітету від </w:t>
      </w:r>
      <w:r w:rsidR="003F6573">
        <w:rPr>
          <w:szCs w:val="28"/>
        </w:rPr>
        <w:t>5</w:t>
      </w:r>
      <w:r>
        <w:rPr>
          <w:szCs w:val="28"/>
        </w:rPr>
        <w:t xml:space="preserve"> </w:t>
      </w:r>
      <w:r w:rsidR="003F6573">
        <w:rPr>
          <w:szCs w:val="28"/>
        </w:rPr>
        <w:t>жовтня 2016 р., протокол № 84</w:t>
      </w:r>
      <w:r w:rsidRPr="00023C56">
        <w:rPr>
          <w:szCs w:val="28"/>
        </w:rPr>
        <w:t>).</w:t>
      </w:r>
      <w:r w:rsidRPr="00023C56">
        <w:rPr>
          <w:rFonts w:cs="Times New Roman"/>
          <w:b/>
          <w:szCs w:val="28"/>
        </w:rPr>
        <w:tab/>
      </w:r>
      <w:bookmarkStart w:id="0" w:name="_GoBack"/>
      <w:bookmarkEnd w:id="0"/>
    </w:p>
    <w:p w:rsidR="00CB327A" w:rsidRDefault="00CB327A" w:rsidP="00CB327A">
      <w:pPr>
        <w:tabs>
          <w:tab w:val="left" w:pos="1080"/>
          <w:tab w:val="left" w:pos="1260"/>
        </w:tabs>
        <w:ind w:firstLine="720"/>
        <w:rPr>
          <w:szCs w:val="28"/>
        </w:rPr>
      </w:pPr>
      <w:r w:rsidRPr="000109D5">
        <w:rPr>
          <w:sz w:val="27"/>
          <w:szCs w:val="27"/>
        </w:rPr>
        <w:t>У проекті</w:t>
      </w:r>
      <w:r>
        <w:rPr>
          <w:sz w:val="27"/>
          <w:szCs w:val="27"/>
        </w:rPr>
        <w:t>, метою якого у Пояснювальній записці до нього визначено «</w:t>
      </w:r>
      <w:r w:rsidRPr="00FA3863">
        <w:rPr>
          <w:sz w:val="27"/>
          <w:szCs w:val="27"/>
        </w:rPr>
        <w:t>вдосконалення та підвищення ефективності державного регулювання процедури будівництва шляхом спрощення обтяжливих процедур у сфері будівництва та підвищення вимог до осіб, які розробляють містобудівну документацію, здійснюють архітектурне та інженерно-будівельне проектування, технічний нагляд, експертизи, обстеження та інжинірингову діяльність у будівництві</w:t>
      </w:r>
      <w:r>
        <w:rPr>
          <w:sz w:val="27"/>
          <w:szCs w:val="27"/>
        </w:rPr>
        <w:t xml:space="preserve">» </w:t>
      </w:r>
      <w:r w:rsidRPr="00FA377F">
        <w:rPr>
          <w:szCs w:val="28"/>
        </w:rPr>
        <w:t xml:space="preserve">пропонується внести </w:t>
      </w:r>
      <w:r>
        <w:rPr>
          <w:szCs w:val="28"/>
        </w:rPr>
        <w:t xml:space="preserve">певні </w:t>
      </w:r>
      <w:r w:rsidRPr="00FA377F">
        <w:rPr>
          <w:szCs w:val="28"/>
        </w:rPr>
        <w:t>зміни</w:t>
      </w:r>
      <w:r>
        <w:rPr>
          <w:szCs w:val="28"/>
        </w:rPr>
        <w:t xml:space="preserve"> </w:t>
      </w:r>
      <w:r w:rsidRPr="0016307B">
        <w:rPr>
          <w:szCs w:val="28"/>
        </w:rPr>
        <w:t xml:space="preserve">до </w:t>
      </w:r>
      <w:r w:rsidRPr="00AE216F">
        <w:rPr>
          <w:szCs w:val="28"/>
        </w:rPr>
        <w:t>Кодекс</w:t>
      </w:r>
      <w:r>
        <w:rPr>
          <w:szCs w:val="28"/>
        </w:rPr>
        <w:t>у</w:t>
      </w:r>
      <w:r w:rsidRPr="00AE216F">
        <w:rPr>
          <w:szCs w:val="28"/>
        </w:rPr>
        <w:t xml:space="preserve"> України про адміністративні правопорушення,</w:t>
      </w:r>
      <w:r>
        <w:rPr>
          <w:szCs w:val="28"/>
        </w:rPr>
        <w:t xml:space="preserve"> Кодексу</w:t>
      </w:r>
      <w:r w:rsidRPr="0016288E">
        <w:rPr>
          <w:szCs w:val="28"/>
        </w:rPr>
        <w:t xml:space="preserve"> </w:t>
      </w:r>
      <w:r>
        <w:rPr>
          <w:szCs w:val="28"/>
        </w:rPr>
        <w:t xml:space="preserve">цивільного захисту </w:t>
      </w:r>
      <w:r w:rsidRPr="0016288E">
        <w:rPr>
          <w:szCs w:val="28"/>
        </w:rPr>
        <w:t>України</w:t>
      </w:r>
      <w:r>
        <w:rPr>
          <w:szCs w:val="28"/>
        </w:rPr>
        <w:t xml:space="preserve">, Законів України «Про </w:t>
      </w:r>
      <w:r w:rsidRPr="00FA3863">
        <w:rPr>
          <w:szCs w:val="28"/>
        </w:rPr>
        <w:t>охорону праці</w:t>
      </w:r>
      <w:r>
        <w:rPr>
          <w:szCs w:val="28"/>
        </w:rPr>
        <w:t>», «</w:t>
      </w:r>
      <w:r w:rsidRPr="00FA3863">
        <w:rPr>
          <w:szCs w:val="28"/>
        </w:rPr>
        <w:t>Про основи містобудування»</w:t>
      </w:r>
      <w:r>
        <w:rPr>
          <w:szCs w:val="28"/>
        </w:rPr>
        <w:t xml:space="preserve">, </w:t>
      </w:r>
      <w:r w:rsidRPr="00FA3863">
        <w:rPr>
          <w:szCs w:val="28"/>
        </w:rPr>
        <w:t xml:space="preserve">«Про відповідальність за правопорушення у </w:t>
      </w:r>
      <w:r>
        <w:rPr>
          <w:szCs w:val="28"/>
        </w:rPr>
        <w:t>сфері містобудівної діяльності», «Про місцеве самоврядування в Україні» (у проекті – «Про місцеве самоврядування»), «Про архітектурну діяльність», «</w:t>
      </w:r>
      <w:r w:rsidRPr="00FA3863">
        <w:rPr>
          <w:szCs w:val="28"/>
        </w:rPr>
        <w:t xml:space="preserve">Про фінансово-кредитні </w:t>
      </w:r>
      <w:r w:rsidRPr="00FA3863">
        <w:rPr>
          <w:szCs w:val="28"/>
        </w:rPr>
        <w:lastRenderedPageBreak/>
        <w:t>механізми і управління майном при будівництві житла та операціях з нерухомістю</w:t>
      </w:r>
      <w:r>
        <w:rPr>
          <w:szCs w:val="28"/>
        </w:rPr>
        <w:t xml:space="preserve">», «Про </w:t>
      </w:r>
      <w:r w:rsidRPr="00FA3863">
        <w:rPr>
          <w:szCs w:val="28"/>
        </w:rPr>
        <w:t>регулювання містобудівної діяльності</w:t>
      </w:r>
      <w:r>
        <w:rPr>
          <w:szCs w:val="28"/>
        </w:rPr>
        <w:t xml:space="preserve">». </w:t>
      </w:r>
    </w:p>
    <w:p w:rsidR="00CB327A" w:rsidRPr="00A53AE8" w:rsidRDefault="00CB327A" w:rsidP="00CB327A">
      <w:pPr>
        <w:shd w:val="clear" w:color="auto" w:fill="FFFFFF"/>
        <w:textAlignment w:val="baseline"/>
        <w:rPr>
          <w:szCs w:val="28"/>
        </w:rPr>
      </w:pPr>
      <w:r>
        <w:rPr>
          <w:rFonts w:asciiTheme="majorBidi" w:hAnsiTheme="majorBidi" w:cstheme="majorBidi"/>
          <w:szCs w:val="28"/>
        </w:rPr>
        <w:t>П</w:t>
      </w:r>
      <w:r w:rsidRPr="00A53AE8">
        <w:rPr>
          <w:szCs w:val="28"/>
          <w:shd w:val="clear" w:color="auto" w:fill="FFFFFF"/>
        </w:rPr>
        <w:t xml:space="preserve">огоджуючись з твердженням авторів законопроекту про те, що процедура реєстрації відповідних декларацій має ряд недоліків, все ж таки </w:t>
      </w:r>
      <w:r>
        <w:rPr>
          <w:rFonts w:asciiTheme="majorBidi" w:hAnsiTheme="majorBidi" w:cstheme="majorBidi"/>
          <w:szCs w:val="28"/>
          <w:shd w:val="clear" w:color="auto" w:fill="FFFFFF"/>
        </w:rPr>
        <w:t>необхідно зауважити</w:t>
      </w:r>
      <w:r w:rsidRPr="00A53AE8">
        <w:rPr>
          <w:szCs w:val="28"/>
          <w:shd w:val="clear" w:color="auto" w:fill="FFFFFF"/>
        </w:rPr>
        <w:t>, що процеси дерегуляції мають бути виваженими, обґрунтованими та не створювати нових загроз.</w:t>
      </w:r>
    </w:p>
    <w:p w:rsidR="00CB327A" w:rsidRPr="00825EE7" w:rsidRDefault="00CB327A" w:rsidP="00CB327A">
      <w:pPr>
        <w:rPr>
          <w:b/>
          <w:bCs/>
          <w:i/>
          <w:iCs/>
          <w:szCs w:val="28"/>
        </w:rPr>
      </w:pPr>
      <w:r w:rsidRPr="00A53AE8">
        <w:rPr>
          <w:szCs w:val="28"/>
        </w:rPr>
        <w:t xml:space="preserve">Водночас,  поряд із визначенням на законодавчому рівні об’єму інформації, яка має в обов’язковому порядку зазначатися в деклараціях про початок виконання підготовчих та будівельних робіт, </w:t>
      </w:r>
      <w:r>
        <w:rPr>
          <w:rFonts w:asciiTheme="majorBidi" w:hAnsiTheme="majorBidi" w:cstheme="majorBidi"/>
          <w:szCs w:val="28"/>
        </w:rPr>
        <w:t>законо</w:t>
      </w:r>
      <w:r w:rsidRPr="00A53AE8">
        <w:rPr>
          <w:szCs w:val="28"/>
        </w:rPr>
        <w:t xml:space="preserve">проект № 4187 </w:t>
      </w:r>
      <w:r w:rsidRPr="00825EE7">
        <w:rPr>
          <w:b/>
          <w:bCs/>
          <w:i/>
          <w:iCs/>
          <w:szCs w:val="28"/>
        </w:rPr>
        <w:t xml:space="preserve">не передбачає жодних правових наслідків недодержання замовником будівництва відповідних законодавчих вимог. </w:t>
      </w:r>
    </w:p>
    <w:p w:rsidR="00CB327A" w:rsidRPr="002E116A" w:rsidRDefault="00CB327A" w:rsidP="00CB327A">
      <w:pPr>
        <w:rPr>
          <w:szCs w:val="28"/>
        </w:rPr>
      </w:pPr>
      <w:r>
        <w:rPr>
          <w:rFonts w:asciiTheme="majorBidi" w:hAnsiTheme="majorBidi" w:cstheme="majorBidi"/>
          <w:szCs w:val="28"/>
        </w:rPr>
        <w:t xml:space="preserve">Зазначений </w:t>
      </w:r>
      <w:r w:rsidRPr="00A53AE8">
        <w:rPr>
          <w:szCs w:val="28"/>
        </w:rPr>
        <w:t xml:space="preserve">Проект Закону також не встановлює, у який спосіб відбуватиметься підтвердження факту подання замовником декларацій про початок виконання будівельних та підготовчих робіт, що може потягти за собою новий </w:t>
      </w:r>
      <w:r w:rsidRPr="00825EE7">
        <w:rPr>
          <w:b/>
          <w:bCs/>
          <w:i/>
          <w:iCs/>
          <w:szCs w:val="28"/>
        </w:rPr>
        <w:t>вид корупційних порушень та бюрократії</w:t>
      </w:r>
      <w:r>
        <w:rPr>
          <w:rFonts w:asciiTheme="majorBidi" w:hAnsiTheme="majorBidi" w:cstheme="majorBidi"/>
          <w:szCs w:val="28"/>
        </w:rPr>
        <w:t xml:space="preserve"> з боку органів </w:t>
      </w:r>
      <w:r>
        <w:rPr>
          <w:rFonts w:asciiTheme="majorBidi" w:hAnsiTheme="majorBidi" w:cstheme="majorBidi"/>
          <w:szCs w:val="28"/>
          <w:shd w:val="clear" w:color="auto" w:fill="FFFFFF"/>
        </w:rPr>
        <w:t>Державної архітектурно-будівельної інспекції</w:t>
      </w:r>
      <w:r w:rsidRPr="002E116A">
        <w:rPr>
          <w:rFonts w:asciiTheme="majorBidi" w:hAnsiTheme="majorBidi" w:cstheme="majorBidi"/>
          <w:szCs w:val="28"/>
          <w:shd w:val="clear" w:color="auto" w:fill="FFFFFF"/>
        </w:rPr>
        <w:t xml:space="preserve"> України</w:t>
      </w:r>
      <w:r w:rsidRPr="002E116A">
        <w:rPr>
          <w:szCs w:val="28"/>
        </w:rPr>
        <w:t>.</w:t>
      </w:r>
    </w:p>
    <w:p w:rsidR="00CB327A" w:rsidRPr="00A53AE8" w:rsidRDefault="00CB327A" w:rsidP="00CB327A">
      <w:pPr>
        <w:rPr>
          <w:szCs w:val="28"/>
        </w:rPr>
      </w:pPr>
      <w:r w:rsidRPr="00A53AE8">
        <w:rPr>
          <w:szCs w:val="28"/>
          <w:shd w:val="clear" w:color="auto" w:fill="FFFFFF"/>
        </w:rPr>
        <w:t>Крім того, проектом Закону не врегульов</w:t>
      </w:r>
      <w:r>
        <w:rPr>
          <w:rFonts w:asciiTheme="majorBidi" w:hAnsiTheme="majorBidi" w:cstheme="majorBidi"/>
          <w:szCs w:val="28"/>
          <w:shd w:val="clear" w:color="auto" w:fill="FFFFFF"/>
        </w:rPr>
        <w:t>ано питання взаємодії між ЦНАП (Центр надання адміністративних послуг)</w:t>
      </w:r>
      <w:r w:rsidRPr="00A53AE8">
        <w:rPr>
          <w:szCs w:val="28"/>
          <w:shd w:val="clear" w:color="auto" w:fill="FFFFFF"/>
        </w:rPr>
        <w:t>, якому подано декларацію про початок здійснення п</w:t>
      </w:r>
      <w:r>
        <w:rPr>
          <w:rFonts w:asciiTheme="majorBidi" w:hAnsiTheme="majorBidi" w:cstheme="majorBidi"/>
          <w:szCs w:val="28"/>
          <w:shd w:val="clear" w:color="auto" w:fill="FFFFFF"/>
        </w:rPr>
        <w:t>ідготовчих чи будівельних робіт</w:t>
      </w:r>
      <w:r w:rsidRPr="00A53AE8">
        <w:rPr>
          <w:szCs w:val="28"/>
          <w:shd w:val="clear" w:color="auto" w:fill="FFFFFF"/>
        </w:rPr>
        <w:t xml:space="preserve"> та органом державного архітектурно-будівельного контролю.</w:t>
      </w:r>
    </w:p>
    <w:p w:rsidR="00CB327A" w:rsidRPr="00A53AE8" w:rsidRDefault="00CB327A" w:rsidP="00CB327A">
      <w:pPr>
        <w:shd w:val="clear" w:color="auto" w:fill="FFFFFF"/>
        <w:textAlignment w:val="baseline"/>
        <w:rPr>
          <w:szCs w:val="28"/>
        </w:rPr>
      </w:pPr>
      <w:r w:rsidRPr="00A53AE8">
        <w:rPr>
          <w:szCs w:val="28"/>
        </w:rPr>
        <w:t xml:space="preserve"> </w:t>
      </w:r>
      <w:r w:rsidRPr="00A53AE8">
        <w:rPr>
          <w:szCs w:val="28"/>
          <w:shd w:val="clear" w:color="auto" w:fill="FFFFFF"/>
        </w:rPr>
        <w:t xml:space="preserve">Окрім цього, </w:t>
      </w:r>
      <w:r>
        <w:rPr>
          <w:rFonts w:asciiTheme="majorBidi" w:hAnsiTheme="majorBidi" w:cstheme="majorBidi"/>
          <w:szCs w:val="28"/>
          <w:shd w:val="clear" w:color="auto" w:fill="FFFFFF"/>
        </w:rPr>
        <w:t>законо</w:t>
      </w:r>
      <w:r w:rsidRPr="00A53AE8">
        <w:rPr>
          <w:szCs w:val="28"/>
          <w:shd w:val="clear" w:color="auto" w:fill="FFFFFF"/>
        </w:rPr>
        <w:t>проектом пропонується виключити із Закону України «Про регулювання містобудівної діяльності» можливість скасування декларацій про початок виконання підготовчих та будівельних робіт, у тому числі й у випадку відповідної ініціативи замовника будівництва. Вказана пропозиція не вбачається доцільною, оскільки чинні частина дев’ята статті 35 та частина сьома статті 36 Закону України «Про регулювання містобудівної діяльності»</w:t>
      </w:r>
      <w:r>
        <w:rPr>
          <w:rFonts w:asciiTheme="majorBidi" w:hAnsiTheme="majorBidi" w:cstheme="majorBidi"/>
          <w:szCs w:val="28"/>
          <w:shd w:val="clear" w:color="auto" w:fill="FFFFFF"/>
        </w:rPr>
        <w:t>, що</w:t>
      </w:r>
      <w:r w:rsidRPr="00A53AE8">
        <w:rPr>
          <w:szCs w:val="28"/>
          <w:shd w:val="clear" w:color="auto" w:fill="FFFFFF"/>
        </w:rPr>
        <w:t xml:space="preserve"> містять цілком об’єктивні підстави для скасування відповідних декларацій: волевиявлення власника, припинення своєї діяльності суб’єктом господарювання – замовником будівництва, а також виявлення органом державного архітектурно-будівельного контролю під час перевірки порушень, несумісних з продовженням будівництва. </w:t>
      </w:r>
    </w:p>
    <w:p w:rsidR="00CB327A" w:rsidRPr="00A53AE8" w:rsidRDefault="00CB327A" w:rsidP="00CB327A">
      <w:pPr>
        <w:rPr>
          <w:szCs w:val="28"/>
        </w:rPr>
      </w:pPr>
      <w:r w:rsidRPr="00A53AE8">
        <w:rPr>
          <w:szCs w:val="28"/>
          <w:shd w:val="clear" w:color="auto" w:fill="FFFFFF"/>
        </w:rPr>
        <w:t xml:space="preserve">При цьому є незрозумілим, з яких міркувань автори законопроекту вирішили позбавити замовника будівництва права ініціювати скасування власних декларацій про проведення підготовчих та будівних робіт. </w:t>
      </w:r>
    </w:p>
    <w:p w:rsidR="00CB327A" w:rsidRPr="00A53AE8" w:rsidRDefault="00CB327A" w:rsidP="00CB327A">
      <w:pPr>
        <w:shd w:val="clear" w:color="auto" w:fill="FFFFFF"/>
        <w:textAlignment w:val="baseline"/>
        <w:rPr>
          <w:szCs w:val="28"/>
        </w:rPr>
      </w:pPr>
      <w:r w:rsidRPr="00A53AE8">
        <w:rPr>
          <w:szCs w:val="28"/>
        </w:rPr>
        <w:t xml:space="preserve"> </w:t>
      </w:r>
      <w:r w:rsidRPr="00A53AE8">
        <w:rPr>
          <w:szCs w:val="28"/>
          <w:shd w:val="clear" w:color="auto" w:fill="FFFFFF"/>
        </w:rPr>
        <w:t>Питання призупинення виконання підготовчих або будівельних робіт пропонується врегулювати у новій статті 37-1, якою доповнюється Закон України «Про регулювання містобудівної діяльності» шляхом визначення виключно судової процедури призупинення відповідного будівництва, яка може бути застосована у випадку істотних порушень при спорудженні об’єкта.  </w:t>
      </w:r>
    </w:p>
    <w:p w:rsidR="00CB327A" w:rsidRPr="00A53AE8" w:rsidRDefault="00CB327A" w:rsidP="00CB327A">
      <w:pPr>
        <w:rPr>
          <w:szCs w:val="28"/>
        </w:rPr>
      </w:pPr>
      <w:r w:rsidRPr="00A53AE8">
        <w:rPr>
          <w:szCs w:val="28"/>
          <w:shd w:val="clear" w:color="auto" w:fill="FFFFFF"/>
        </w:rPr>
        <w:t xml:space="preserve">В цьому </w:t>
      </w:r>
      <w:r>
        <w:rPr>
          <w:rFonts w:asciiTheme="majorBidi" w:hAnsiTheme="majorBidi" w:cstheme="majorBidi"/>
          <w:szCs w:val="28"/>
          <w:shd w:val="clear" w:color="auto" w:fill="FFFFFF"/>
        </w:rPr>
        <w:t>контексті</w:t>
      </w:r>
      <w:r w:rsidRPr="00A53AE8">
        <w:rPr>
          <w:szCs w:val="28"/>
          <w:shd w:val="clear" w:color="auto" w:fill="FFFFFF"/>
        </w:rPr>
        <w:t xml:space="preserve">, </w:t>
      </w:r>
      <w:r>
        <w:rPr>
          <w:rFonts w:asciiTheme="majorBidi" w:hAnsiTheme="majorBidi" w:cstheme="majorBidi"/>
          <w:szCs w:val="28"/>
          <w:shd w:val="clear" w:color="auto" w:fill="FFFFFF"/>
        </w:rPr>
        <w:t>слід</w:t>
      </w:r>
      <w:r w:rsidRPr="00A53AE8">
        <w:rPr>
          <w:szCs w:val="28"/>
          <w:shd w:val="clear" w:color="auto" w:fill="FFFFFF"/>
        </w:rPr>
        <w:t xml:space="preserve"> звернути увагу на недоцільність застосування терміну «істотні порушення», що через свій оціночний характер, може слугувати підставою </w:t>
      </w:r>
      <w:r w:rsidRPr="00825EE7">
        <w:rPr>
          <w:b/>
          <w:bCs/>
          <w:i/>
          <w:iCs/>
          <w:szCs w:val="28"/>
          <w:shd w:val="clear" w:color="auto" w:fill="FFFFFF"/>
        </w:rPr>
        <w:t>для зловживань при застосуванні до замовника</w:t>
      </w:r>
      <w:r w:rsidRPr="00A53AE8">
        <w:rPr>
          <w:szCs w:val="28"/>
          <w:shd w:val="clear" w:color="auto" w:fill="FFFFFF"/>
        </w:rPr>
        <w:t xml:space="preserve"> </w:t>
      </w:r>
      <w:r w:rsidRPr="00A53AE8">
        <w:rPr>
          <w:szCs w:val="28"/>
          <w:shd w:val="clear" w:color="auto" w:fill="FFFFFF"/>
        </w:rPr>
        <w:lastRenderedPageBreak/>
        <w:t xml:space="preserve">будівництва такої санкції як «призупинення виконання підготовчих або будівельних робіт». </w:t>
      </w:r>
    </w:p>
    <w:p w:rsidR="00CB327A" w:rsidRPr="00A53AE8" w:rsidRDefault="00CB327A" w:rsidP="00CB327A">
      <w:pPr>
        <w:rPr>
          <w:szCs w:val="28"/>
        </w:rPr>
      </w:pPr>
      <w:r w:rsidRPr="00A53AE8">
        <w:rPr>
          <w:szCs w:val="28"/>
          <w:shd w:val="clear" w:color="auto" w:fill="FFFFFF"/>
        </w:rPr>
        <w:t xml:space="preserve">Крім того, частина перша статті 37-1 передбачає можливість ініціювання призупинення виконання підготовчих або будівельних робіт, які проводяться суб’єктом господарювання, залишаючи поза увагою фізичних осіб, які не мають вказаного статусу. Утім, на даний час фізичні особи можуть виступати замовниками будівництва не тільки об’єктів приватної забудови, а й об’єктів житлово-громадського призначення, тому вони не мають залишатися поза сферою дії державного архітектурно-будівельного контролю. </w:t>
      </w:r>
    </w:p>
    <w:p w:rsidR="00CB327A" w:rsidRPr="00A53AE8" w:rsidRDefault="00CB327A" w:rsidP="00CB327A">
      <w:pPr>
        <w:rPr>
          <w:szCs w:val="28"/>
        </w:rPr>
      </w:pPr>
      <w:r w:rsidRPr="00A53AE8">
        <w:rPr>
          <w:szCs w:val="28"/>
          <w:shd w:val="clear" w:color="auto" w:fill="FFFFFF"/>
        </w:rPr>
        <w:t>Окремо хотілося б звернути увагу на положення частини третьої статті 37-1, якою пропонується доповнити Закон України «Про регулювання містобудівної діяльності». Цією нормою передбачається, що відновлення підготовчих або будівельних робіт, надання послуг суб’єктами господарювання після призупинення їх виконання, можливе з моменту «отримання органом державного архітектурно-будівельного контролю, який ініціював призупинення, повідомлення суб’єкта господарювання про усунення ним усіх встановлених судом порушень».</w:t>
      </w:r>
    </w:p>
    <w:p w:rsidR="00CB327A" w:rsidRPr="00A53AE8" w:rsidRDefault="00CB327A" w:rsidP="00CB327A">
      <w:pPr>
        <w:rPr>
          <w:szCs w:val="28"/>
        </w:rPr>
      </w:pPr>
      <w:r w:rsidRPr="00A53AE8">
        <w:rPr>
          <w:szCs w:val="28"/>
          <w:shd w:val="clear" w:color="auto" w:fill="FFFFFF"/>
        </w:rPr>
        <w:t xml:space="preserve">Утім, не вбачається за логічне відновлення будівельних робіт, що були зупиненні судом у зв’язку з істотним порушенням законодавства, без належної перевірки факту усунення таких порушень, як це передбачається законопроектом. </w:t>
      </w:r>
    </w:p>
    <w:p w:rsidR="00CB327A" w:rsidRPr="00A53AE8" w:rsidRDefault="00CB327A" w:rsidP="00CB327A">
      <w:pPr>
        <w:shd w:val="clear" w:color="auto" w:fill="FFFFFF"/>
        <w:textAlignment w:val="baseline"/>
        <w:rPr>
          <w:szCs w:val="28"/>
        </w:rPr>
      </w:pPr>
      <w:r w:rsidRPr="00A53AE8">
        <w:rPr>
          <w:szCs w:val="28"/>
          <w:shd w:val="clear" w:color="auto" w:fill="FFFFFF"/>
        </w:rPr>
        <w:t xml:space="preserve">Також, проектом пропонується скасувати процедуру реєстрації декларацій про готовність об’єкта до експлуатації, замінивши її механізмом простого їх подання органам державного архітектурно-будівного контролю. </w:t>
      </w:r>
    </w:p>
    <w:p w:rsidR="00CB327A" w:rsidRPr="00A53AE8" w:rsidRDefault="00CB327A" w:rsidP="00CB327A">
      <w:pPr>
        <w:rPr>
          <w:szCs w:val="28"/>
        </w:rPr>
      </w:pPr>
      <w:r w:rsidRPr="00A53AE8">
        <w:rPr>
          <w:szCs w:val="28"/>
          <w:shd w:val="clear" w:color="auto" w:fill="FFFFFF"/>
        </w:rPr>
        <w:t xml:space="preserve">Аналіз положень законопроекту, якими запроваджуються відповідні зміни, залишає відкритим такий спектр питань, як і у випадку зі скасуванням реєстрації декларацій про початок будівельних та підготовчих робіт: факт підтвердження подання відповідного документа; взаємодія </w:t>
      </w:r>
      <w:proofErr w:type="spellStart"/>
      <w:r w:rsidRPr="00A53AE8">
        <w:rPr>
          <w:szCs w:val="28"/>
          <w:shd w:val="clear" w:color="auto" w:fill="FFFFFF"/>
        </w:rPr>
        <w:t>ЦНАПа</w:t>
      </w:r>
      <w:proofErr w:type="spellEnd"/>
      <w:r w:rsidRPr="00A53AE8">
        <w:rPr>
          <w:szCs w:val="28"/>
          <w:shd w:val="clear" w:color="auto" w:fill="FFFFFF"/>
        </w:rPr>
        <w:t>, якому</w:t>
      </w:r>
      <w:r>
        <w:rPr>
          <w:rFonts w:asciiTheme="majorBidi" w:hAnsiTheme="majorBidi" w:cstheme="majorBidi"/>
          <w:szCs w:val="28"/>
          <w:shd w:val="clear" w:color="auto" w:fill="FFFFFF"/>
        </w:rPr>
        <w:t xml:space="preserve"> подано декларацію, із органом </w:t>
      </w:r>
      <w:proofErr w:type="spellStart"/>
      <w:r>
        <w:rPr>
          <w:rFonts w:asciiTheme="majorBidi" w:hAnsiTheme="majorBidi" w:cstheme="majorBidi"/>
          <w:szCs w:val="28"/>
          <w:shd w:val="clear" w:color="auto" w:fill="FFFFFF"/>
        </w:rPr>
        <w:t>Д</w:t>
      </w:r>
      <w:r w:rsidRPr="00A53AE8">
        <w:rPr>
          <w:szCs w:val="28"/>
          <w:shd w:val="clear" w:color="auto" w:fill="FFFFFF"/>
        </w:rPr>
        <w:t>ержархбудконтролю</w:t>
      </w:r>
      <w:proofErr w:type="spellEnd"/>
      <w:r w:rsidRPr="00A53AE8">
        <w:rPr>
          <w:szCs w:val="28"/>
          <w:shd w:val="clear" w:color="auto" w:fill="FFFFFF"/>
        </w:rPr>
        <w:t xml:space="preserve">; наслідки недодержання замовником будівництва законодавчих вимог щодо об’єму та змісту інформації декларації про готовність об’єкта до експлуатації. </w:t>
      </w:r>
    </w:p>
    <w:p w:rsidR="00CB327A" w:rsidRPr="00A53AE8" w:rsidRDefault="00CB327A" w:rsidP="00CB327A">
      <w:pPr>
        <w:rPr>
          <w:szCs w:val="28"/>
        </w:rPr>
      </w:pPr>
      <w:r w:rsidRPr="00A53AE8">
        <w:rPr>
          <w:szCs w:val="28"/>
          <w:shd w:val="clear" w:color="auto" w:fill="FFFFFF"/>
        </w:rPr>
        <w:t>При розгляді відповідного питання також слід враховувати те, на даний час шляхом реєстрації декларації про готовність об’єкта до експлуатації, приймаються до експлуатації об’єкти І - ІІІ категорій складності. При цьому, до ІІІ категорії складності об’єктів будівництва належить більшість основних об’єктів житлового, громадського, виробничого та інженерно-транспортного призначення. Тому вкрай важливо, аби зміни до законодавства, які регулюють питання будівництва відповідних об’єктів, не могли потягнути за собою збільшення випадків порушення законодавства під час його здійснення.  </w:t>
      </w:r>
    </w:p>
    <w:p w:rsidR="00CB327A" w:rsidRPr="00A53AE8" w:rsidRDefault="00CB327A" w:rsidP="00CB327A">
      <w:pPr>
        <w:rPr>
          <w:szCs w:val="28"/>
        </w:rPr>
      </w:pPr>
      <w:r w:rsidRPr="00A53AE8">
        <w:rPr>
          <w:szCs w:val="28"/>
          <w:shd w:val="clear" w:color="auto" w:fill="FFFFFF"/>
        </w:rPr>
        <w:t>Натомість положення проекту Закону передбачають можливість замовника будівництва вчиняти дії щодо введення об’єкта в експлуа</w:t>
      </w:r>
      <w:r>
        <w:rPr>
          <w:rFonts w:asciiTheme="majorBidi" w:hAnsiTheme="majorBidi" w:cstheme="majorBidi"/>
          <w:szCs w:val="28"/>
          <w:shd w:val="clear" w:color="auto" w:fill="FFFFFF"/>
        </w:rPr>
        <w:t xml:space="preserve">тацію </w:t>
      </w:r>
      <w:r>
        <w:rPr>
          <w:rFonts w:asciiTheme="majorBidi" w:hAnsiTheme="majorBidi" w:cstheme="majorBidi"/>
          <w:szCs w:val="28"/>
          <w:shd w:val="clear" w:color="auto" w:fill="FFFFFF"/>
        </w:rPr>
        <w:lastRenderedPageBreak/>
        <w:t xml:space="preserve">шляхом подання до органу </w:t>
      </w:r>
      <w:proofErr w:type="spellStart"/>
      <w:r>
        <w:rPr>
          <w:rFonts w:asciiTheme="majorBidi" w:hAnsiTheme="majorBidi" w:cstheme="majorBidi"/>
          <w:szCs w:val="28"/>
          <w:shd w:val="clear" w:color="auto" w:fill="FFFFFF"/>
        </w:rPr>
        <w:t>Д</w:t>
      </w:r>
      <w:r w:rsidRPr="00A53AE8">
        <w:rPr>
          <w:szCs w:val="28"/>
          <w:shd w:val="clear" w:color="auto" w:fill="FFFFFF"/>
        </w:rPr>
        <w:t>ержархбудконтролю</w:t>
      </w:r>
      <w:proofErr w:type="spellEnd"/>
      <w:r w:rsidRPr="00A53AE8">
        <w:rPr>
          <w:szCs w:val="28"/>
          <w:shd w:val="clear" w:color="auto" w:fill="FFFFFF"/>
        </w:rPr>
        <w:t xml:space="preserve"> відповідної декларації навіть у разі, якщо стосовно цього об’єкта є рішення суду про призупинення виконання підготовчих або будівельних робіт, або відповідне питання є предметом судового розгляду. Адже, проектом не визначаються умови, за яких</w:t>
      </w:r>
      <w:r>
        <w:rPr>
          <w:rFonts w:asciiTheme="majorBidi" w:hAnsiTheme="majorBidi" w:cstheme="majorBidi"/>
          <w:szCs w:val="28"/>
          <w:shd w:val="clear" w:color="auto" w:fill="FFFFFF"/>
        </w:rPr>
        <w:t xml:space="preserve"> орган </w:t>
      </w:r>
      <w:proofErr w:type="spellStart"/>
      <w:r>
        <w:rPr>
          <w:rFonts w:asciiTheme="majorBidi" w:hAnsiTheme="majorBidi" w:cstheme="majorBidi"/>
          <w:szCs w:val="28"/>
          <w:shd w:val="clear" w:color="auto" w:fill="FFFFFF"/>
        </w:rPr>
        <w:t>Д</w:t>
      </w:r>
      <w:r w:rsidRPr="00A53AE8">
        <w:rPr>
          <w:szCs w:val="28"/>
          <w:shd w:val="clear" w:color="auto" w:fill="FFFFFF"/>
        </w:rPr>
        <w:t>ержархбудконтролю</w:t>
      </w:r>
      <w:proofErr w:type="spellEnd"/>
      <w:r w:rsidRPr="00A53AE8">
        <w:rPr>
          <w:szCs w:val="28"/>
          <w:shd w:val="clear" w:color="auto" w:fill="FFFFFF"/>
        </w:rPr>
        <w:t xml:space="preserve"> може відмовити у прийнятті відповідної декларації. </w:t>
      </w:r>
    </w:p>
    <w:p w:rsidR="00CB327A" w:rsidRPr="00A53AE8" w:rsidRDefault="00CB327A" w:rsidP="00CB327A">
      <w:pPr>
        <w:rPr>
          <w:szCs w:val="28"/>
        </w:rPr>
      </w:pPr>
      <w:r w:rsidRPr="00A53AE8">
        <w:rPr>
          <w:szCs w:val="28"/>
          <w:shd w:val="clear" w:color="auto" w:fill="FFFFFF"/>
        </w:rPr>
        <w:t xml:space="preserve">З огляду на зазначене, існує великий ризик, що прийняття запропонованих законопроектом норм спровокує збільшення кількості «будівельних афер» та незаконного будівництва. З огляду на зазначене, </w:t>
      </w:r>
      <w:r>
        <w:rPr>
          <w:rFonts w:asciiTheme="majorBidi" w:hAnsiTheme="majorBidi" w:cstheme="majorBidi"/>
          <w:szCs w:val="28"/>
          <w:shd w:val="clear" w:color="auto" w:fill="FFFFFF"/>
        </w:rPr>
        <w:t>необхідно зазначити,</w:t>
      </w:r>
      <w:r w:rsidRPr="00A53AE8">
        <w:rPr>
          <w:szCs w:val="28"/>
          <w:shd w:val="clear" w:color="auto" w:fill="FFFFFF"/>
        </w:rPr>
        <w:t xml:space="preserve"> що відмова від реєстрації декларацій про готовність об’єкта до експлуатації можлива виключно у разі одночасного введення в законодавство механізму перевірки відомостей, які замовник вказує у такій декларації, а також відповідальності замовника за  подання недостовірної інформації. </w:t>
      </w:r>
    </w:p>
    <w:p w:rsidR="00CB327A" w:rsidRPr="00CB327A" w:rsidRDefault="00CB327A" w:rsidP="00CB327A">
      <w:pPr>
        <w:rPr>
          <w:szCs w:val="28"/>
        </w:rPr>
      </w:pPr>
      <w:r w:rsidRPr="00A53AE8">
        <w:rPr>
          <w:szCs w:val="28"/>
          <w:shd w:val="clear" w:color="auto" w:fill="FFFFFF"/>
        </w:rPr>
        <w:t xml:space="preserve">Окремо хотілося б звернути увагу на те, що з незрозумілих причин </w:t>
      </w:r>
      <w:r>
        <w:rPr>
          <w:rFonts w:asciiTheme="majorBidi" w:hAnsiTheme="majorBidi" w:cstheme="majorBidi"/>
          <w:szCs w:val="28"/>
          <w:shd w:val="clear" w:color="auto" w:fill="FFFFFF"/>
        </w:rPr>
        <w:t>законо</w:t>
      </w:r>
      <w:r w:rsidRPr="00A53AE8">
        <w:rPr>
          <w:szCs w:val="28"/>
        </w:rPr>
        <w:t>проектом пропонується виключити із зако</w:t>
      </w:r>
      <w:r>
        <w:rPr>
          <w:rFonts w:asciiTheme="majorBidi" w:hAnsiTheme="majorBidi" w:cstheme="majorBidi"/>
          <w:szCs w:val="28"/>
        </w:rPr>
        <w:t>нодавства положення, що визначають</w:t>
      </w:r>
      <w:r w:rsidRPr="00A53AE8">
        <w:rPr>
          <w:szCs w:val="28"/>
        </w:rPr>
        <w:t xml:space="preserve"> дату прийняття закінченого будівництвом об’єкта в експлуатацію (чинна частина п’ята статті 39 Закону України «Про регулювання містобудівної документації»), вказане</w:t>
      </w:r>
      <w:r>
        <w:rPr>
          <w:rFonts w:asciiTheme="majorBidi" w:hAnsiTheme="majorBidi" w:cstheme="majorBidi"/>
          <w:szCs w:val="28"/>
        </w:rPr>
        <w:t xml:space="preserve"> </w:t>
      </w:r>
      <w:r w:rsidRPr="00A53AE8">
        <w:rPr>
          <w:szCs w:val="28"/>
        </w:rPr>
        <w:t>є неприпустимим, так як відповідні зміни потягнуть за собою юридичну невизначеність відповідного вкрай важливого питання.</w:t>
      </w:r>
    </w:p>
    <w:p w:rsidR="00CB327A" w:rsidRDefault="00CB327A" w:rsidP="00CB327A">
      <w:pPr>
        <w:rPr>
          <w:szCs w:val="28"/>
        </w:rPr>
      </w:pPr>
      <w:r>
        <w:rPr>
          <w:szCs w:val="28"/>
        </w:rPr>
        <w:t xml:space="preserve">Враховуючи викладене та з метою усунення </w:t>
      </w:r>
      <w:proofErr w:type="spellStart"/>
      <w:r>
        <w:rPr>
          <w:szCs w:val="28"/>
        </w:rPr>
        <w:t>корупціогенного</w:t>
      </w:r>
      <w:proofErr w:type="spellEnd"/>
      <w:r>
        <w:rPr>
          <w:szCs w:val="28"/>
        </w:rPr>
        <w:t xml:space="preserve"> чинника законопроект доцільно відхилити.</w:t>
      </w:r>
    </w:p>
    <w:p w:rsidR="00CB327A" w:rsidRDefault="00CB327A" w:rsidP="0036771B">
      <w:pPr>
        <w:tabs>
          <w:tab w:val="left" w:pos="9356"/>
        </w:tabs>
        <w:spacing w:after="1080"/>
        <w:ind w:right="-2"/>
        <w:rPr>
          <w:b/>
          <w:szCs w:val="28"/>
        </w:rPr>
      </w:pPr>
    </w:p>
    <w:p w:rsidR="0036771B" w:rsidRPr="001E2C22" w:rsidRDefault="0036771B" w:rsidP="0036771B">
      <w:pPr>
        <w:tabs>
          <w:tab w:val="left" w:pos="9356"/>
        </w:tabs>
        <w:spacing w:after="1080"/>
        <w:ind w:right="-2"/>
        <w:rPr>
          <w:b/>
          <w:szCs w:val="28"/>
        </w:rPr>
      </w:pPr>
      <w:r w:rsidRPr="001E2C22">
        <w:rPr>
          <w:b/>
          <w:szCs w:val="28"/>
        </w:rPr>
        <w:t>Голова Комітету                                                                     Є.В. Соболєв</w:t>
      </w:r>
    </w:p>
    <w:p w:rsidR="0036771B" w:rsidRPr="00023C56" w:rsidRDefault="0036771B" w:rsidP="0036771B">
      <w:pPr>
        <w:rPr>
          <w:szCs w:val="28"/>
        </w:rPr>
      </w:pPr>
    </w:p>
    <w:p w:rsidR="0036771B" w:rsidRPr="00023C56" w:rsidRDefault="0036771B" w:rsidP="0036771B">
      <w:pPr>
        <w:rPr>
          <w:szCs w:val="28"/>
        </w:rPr>
      </w:pPr>
    </w:p>
    <w:p w:rsidR="0036771B" w:rsidRPr="00023C56" w:rsidRDefault="0036771B" w:rsidP="0036771B"/>
    <w:p w:rsidR="0036771B" w:rsidRPr="00023C56" w:rsidRDefault="0036771B" w:rsidP="0036771B">
      <w:pPr>
        <w:ind w:firstLine="0"/>
      </w:pPr>
    </w:p>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Pr="00023C56" w:rsidRDefault="0036771B" w:rsidP="0036771B"/>
    <w:p w:rsidR="0036771B" w:rsidRDefault="0036771B" w:rsidP="0036771B"/>
    <w:p w:rsidR="0036771B" w:rsidRDefault="0036771B" w:rsidP="0036771B"/>
    <w:p w:rsidR="0036771B" w:rsidRDefault="0036771B" w:rsidP="0036771B"/>
    <w:p w:rsidR="0036771B" w:rsidRDefault="0036771B" w:rsidP="0036771B"/>
    <w:p w:rsidR="0036771B" w:rsidRDefault="0036771B" w:rsidP="0036771B"/>
    <w:p w:rsidR="0036771B" w:rsidRDefault="0036771B" w:rsidP="0036771B"/>
    <w:p w:rsidR="0071123D" w:rsidRDefault="0071123D"/>
    <w:sectPr w:rsidR="0071123D" w:rsidSect="00B31EEC">
      <w:pgSz w:w="11906" w:h="16838"/>
      <w:pgMar w:top="567" w:right="1134" w:bottom="1418"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40"/>
  <w:drawingGridVerticalSpacing w:val="381"/>
  <w:displayHorizontalDrawingGridEvery w:val="2"/>
  <w:characterSpacingControl w:val="doNotCompress"/>
  <w:compat/>
  <w:rsids>
    <w:rsidRoot w:val="0036771B"/>
    <w:rsid w:val="00075F30"/>
    <w:rsid w:val="000E6975"/>
    <w:rsid w:val="00144AC4"/>
    <w:rsid w:val="0015553D"/>
    <w:rsid w:val="001B3839"/>
    <w:rsid w:val="0023258D"/>
    <w:rsid w:val="00266F73"/>
    <w:rsid w:val="002A5ECB"/>
    <w:rsid w:val="003034B2"/>
    <w:rsid w:val="00350571"/>
    <w:rsid w:val="0036771B"/>
    <w:rsid w:val="003905EB"/>
    <w:rsid w:val="003D2DA9"/>
    <w:rsid w:val="003D4732"/>
    <w:rsid w:val="003F6573"/>
    <w:rsid w:val="00442068"/>
    <w:rsid w:val="00574EE9"/>
    <w:rsid w:val="00593634"/>
    <w:rsid w:val="005B3D1D"/>
    <w:rsid w:val="005D1EA3"/>
    <w:rsid w:val="0060489F"/>
    <w:rsid w:val="006D00B4"/>
    <w:rsid w:val="006D43EE"/>
    <w:rsid w:val="0071123D"/>
    <w:rsid w:val="007124F9"/>
    <w:rsid w:val="007167D1"/>
    <w:rsid w:val="00761106"/>
    <w:rsid w:val="007F4C01"/>
    <w:rsid w:val="007F7BAE"/>
    <w:rsid w:val="008F3BA3"/>
    <w:rsid w:val="009301F0"/>
    <w:rsid w:val="0094452A"/>
    <w:rsid w:val="00964491"/>
    <w:rsid w:val="009A0A18"/>
    <w:rsid w:val="009E306E"/>
    <w:rsid w:val="00A07CEE"/>
    <w:rsid w:val="00AE13C5"/>
    <w:rsid w:val="00B56F3D"/>
    <w:rsid w:val="00CB327A"/>
    <w:rsid w:val="00D00E11"/>
    <w:rsid w:val="00D240D7"/>
    <w:rsid w:val="00D71E75"/>
    <w:rsid w:val="00DA456A"/>
    <w:rsid w:val="00DD0B52"/>
    <w:rsid w:val="00E220D8"/>
    <w:rsid w:val="00E762C3"/>
    <w:rsid w:val="00E77343"/>
    <w:rsid w:val="00ED11FA"/>
    <w:rsid w:val="00ED43CD"/>
    <w:rsid w:val="00F007BB"/>
    <w:rsid w:val="00FC3B7D"/>
    <w:rsid w:val="00FC6E29"/>
    <w:rsid w:val="00FD412E"/>
    <w:rsid w:val="00FE3D50"/>
  </w:rsids>
  <m:mathPr>
    <m:mathFont m:val="Cambria Math"/>
    <m:brkBin m:val="before"/>
    <m:brkBinSub m:val="--"/>
    <m:smallFrac m:val="off"/>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uk-UA" w:eastAsia="en-US" w:bidi="ar-SA"/>
      </w:rPr>
    </w:rPrDefault>
    <w:pPrDefault>
      <w:pPr>
        <w:spacing w:after="120"/>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71B"/>
    <w:rPr>
      <w:rFonts w:eastAsia="Calibri" w:cs="Calibri"/>
    </w:rPr>
  </w:style>
  <w:style w:type="paragraph" w:styleId="3">
    <w:name w:val="heading 3"/>
    <w:basedOn w:val="a"/>
    <w:next w:val="a"/>
    <w:link w:val="30"/>
    <w:uiPriority w:val="9"/>
    <w:semiHidden/>
    <w:unhideWhenUsed/>
    <w:qFormat/>
    <w:rsid w:val="0036771B"/>
    <w:pPr>
      <w:keepNext/>
      <w:keepLines/>
      <w:spacing w:before="200" w:after="0"/>
      <w:ind w:firstLine="0"/>
      <w:jc w:val="left"/>
      <w:outlineLvl w:val="2"/>
    </w:pPr>
    <w:rPr>
      <w:rFonts w:ascii="Cambria" w:eastAsia="Times New Roman" w:hAnsi="Cambria" w:cs="Times New Roman"/>
      <w:b/>
      <w:bCs/>
      <w:color w:val="4F81BD"/>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36771B"/>
    <w:rPr>
      <w:rFonts w:ascii="Cambria" w:eastAsia="Times New Roman" w:hAnsi="Cambria" w:cs="Times New Roman"/>
      <w:b/>
      <w:bCs/>
      <w:color w:val="4F81BD"/>
      <w:sz w:val="24"/>
      <w:szCs w:val="24"/>
      <w:lang w:val="ru-RU" w:eastAsia="ru-RU"/>
    </w:rPr>
  </w:style>
  <w:style w:type="character" w:customStyle="1" w:styleId="rvts23">
    <w:name w:val="rvts23"/>
    <w:rsid w:val="0036771B"/>
  </w:style>
  <w:style w:type="paragraph" w:customStyle="1" w:styleId="rvps2">
    <w:name w:val="rvps2"/>
    <w:basedOn w:val="a"/>
    <w:rsid w:val="0036771B"/>
    <w:pPr>
      <w:spacing w:before="100" w:beforeAutospacing="1" w:after="100" w:afterAutospacing="1"/>
      <w:ind w:firstLine="0"/>
      <w:jc w:val="left"/>
    </w:pPr>
    <w:rPr>
      <w:rFonts w:eastAsia="Times New Roman" w:cs="Times New Roman"/>
      <w:sz w:val="24"/>
      <w:szCs w:val="24"/>
      <w:lang w:eastAsia="ru-RU" w:bidi="hi-IN"/>
    </w:rPr>
  </w:style>
  <w:style w:type="character" w:customStyle="1" w:styleId="rvts0">
    <w:name w:val="rvts0"/>
    <w:rsid w:val="0036771B"/>
  </w:style>
</w:styles>
</file>

<file path=word/webSettings.xml><?xml version="1.0" encoding="utf-8"?>
<w:webSettings xmlns:r="http://schemas.openxmlformats.org/officeDocument/2006/relationships" xmlns:w="http://schemas.openxmlformats.org/wordprocessingml/2006/main">
  <w:divs>
    <w:div w:id="107108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5451</Words>
  <Characters>3108</Characters>
  <Application>Microsoft Office Word</Application>
  <DocSecurity>0</DocSecurity>
  <Lines>25</Lines>
  <Paragraphs>17</Paragraphs>
  <ScaleCrop>false</ScaleCrop>
  <Company>Verkhovna Rada(Parliament of Ukraine)</Company>
  <LinksUpToDate>false</LinksUpToDate>
  <CharactersWithSpaces>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2016-10-07T11:52:00Z</dcterms:created>
  <dcterms:modified xsi:type="dcterms:W3CDTF">2016-10-07T11:56:00Z</dcterms:modified>
</cp:coreProperties>
</file>