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A26" w:rsidRPr="001D50B9" w:rsidRDefault="009B6A26" w:rsidP="00315874">
      <w:pPr>
        <w:spacing w:before="100" w:beforeAutospacing="1" w:after="100" w:afterAutospacing="1"/>
        <w:jc w:val="center"/>
        <w:outlineLvl w:val="1"/>
        <w:rPr>
          <w:b/>
          <w:bCs/>
          <w:sz w:val="28"/>
          <w:szCs w:val="28"/>
          <w:lang w:eastAsia="uk-UA"/>
        </w:rPr>
      </w:pPr>
      <w:r w:rsidRPr="001D50B9">
        <w:rPr>
          <w:b/>
          <w:bCs/>
          <w:sz w:val="28"/>
          <w:szCs w:val="28"/>
          <w:lang w:eastAsia="uk-UA"/>
        </w:rPr>
        <w:t>П</w:t>
      </w:r>
      <w:bookmarkStart w:id="0" w:name="_GoBack"/>
      <w:bookmarkEnd w:id="0"/>
      <w:r w:rsidRPr="001D50B9">
        <w:rPr>
          <w:b/>
          <w:bCs/>
          <w:sz w:val="28"/>
          <w:szCs w:val="28"/>
          <w:lang w:eastAsia="uk-UA"/>
        </w:rPr>
        <w:t>ОЯСНЮВАЛЬНА ЗАПИСКА</w:t>
      </w:r>
      <w:r w:rsidRPr="001D50B9">
        <w:rPr>
          <w:b/>
          <w:bCs/>
          <w:sz w:val="28"/>
          <w:szCs w:val="28"/>
          <w:lang w:eastAsia="uk-UA"/>
        </w:rPr>
        <w:br/>
        <w:t>до проекту Закону України "</w:t>
      </w:r>
      <w:r w:rsidRPr="001D50B9">
        <w:rPr>
          <w:b/>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1D50B9">
        <w:rPr>
          <w:b/>
          <w:bCs/>
          <w:sz w:val="28"/>
          <w:szCs w:val="28"/>
          <w:lang w:eastAsia="uk-UA"/>
        </w:rPr>
        <w:t>"</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1. Обґрунтування необхідності прийняття акта</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Інтеграція України до ЄС, згідно з Угодою про асоціацію, передбачає гармонізацію основних елементів правових систем і створення поглибленої та всеохоплюючої зони вільної торгівлі (ПВЗВТ). З точки зору лікарських засобів це означає, що нормативно-правові системи ЄС, держав-членів ЄС та України мають бути узгодженими на основі кращого європейського досвіду державотворення. З цієї причини законодавство Україні і ЄС щодо лікарських засобів повинні використовувати однакову термінологію та впроваджувати єдині правила регулювання фармацевтичного ринку.</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xml:space="preserve">Виходячи з того, що наразі Україна не є державою-членом ЄС, норми Союзу не застосовуються в Україні автоматично. Щоб вирішити це питання, національне законодавство має бути адаптовано до законодавства ЄС у відповідності з Угодою про асоціацію між Україною та ЄС і додатками до неї. Інша проблема полягає в тому, що рішення про, наприклад, затвердження лікарських засобів для їх впровадження у виробництво, допуск на ринок і запобігання ризикам здоров’я пацієнтів та здоров’я населення приймаються в різних законодавчих середовищах за різними процедурами. Компетентний орган України не може взяти участь в децентралізованій процедурі або процедурі взаємного визнання щодо лікарського засобу, запровадженими у ЄС. Такий лікарський засіб вимагає окремої національної торгової ліцензії (за застосовною в Україні термінологією – реєстраційного свідоцтва). З тієї ж причини лікарський засіб, схвалений компетентним органом України на основі законодавства ЄС, не може бути експортований в ЄС без отримання європейської торгової ліцензії на лікарський засіб. Саме тому порядок і критерії отримання торгової ліцензії на лікарський засіб в Україні повинні відповідати законодавству ЄС, при цьому повинен забезпечуватися захист права громадян на охорону здоров'я в Україні шляхом збереження основних дозвільних процедур. </w:t>
      </w:r>
    </w:p>
    <w:p w:rsidR="009B6A26" w:rsidRPr="004F3E31" w:rsidRDefault="009B6A26" w:rsidP="004F3E31">
      <w:pPr>
        <w:tabs>
          <w:tab w:val="left" w:pos="0"/>
        </w:tabs>
        <w:ind w:left="-709" w:firstLine="425"/>
        <w:jc w:val="both"/>
        <w:rPr>
          <w:bCs/>
          <w:sz w:val="28"/>
          <w:szCs w:val="28"/>
          <w:bdr w:val="none" w:sz="0" w:space="0" w:color="auto" w:frame="1"/>
          <w:lang w:eastAsia="uk-UA"/>
        </w:rPr>
      </w:pPr>
      <w:r w:rsidRPr="004F3E31">
        <w:rPr>
          <w:bCs/>
          <w:sz w:val="28"/>
          <w:szCs w:val="28"/>
          <w:bdr w:val="none" w:sz="0" w:space="0" w:color="auto" w:frame="1"/>
          <w:lang w:eastAsia="uk-UA"/>
        </w:rPr>
        <w:t xml:space="preserve">Під час розробки </w:t>
      </w:r>
      <w:r w:rsidRPr="004F3E31">
        <w:rPr>
          <w:sz w:val="28"/>
          <w:szCs w:val="28"/>
        </w:rPr>
        <w:t xml:space="preserve">Закону </w:t>
      </w:r>
      <w:r w:rsidRPr="004F3E31">
        <w:rPr>
          <w:bCs/>
          <w:sz w:val="28"/>
          <w:szCs w:val="28"/>
          <w:bdr w:val="none" w:sz="0" w:space="0" w:color="auto" w:frame="1"/>
          <w:lang w:eastAsia="uk-UA"/>
        </w:rPr>
        <w:t xml:space="preserve">були враховані акти вторинного права Європейського Союзу: </w:t>
      </w:r>
    </w:p>
    <w:p w:rsidR="009B6A26" w:rsidRPr="004F3E31" w:rsidRDefault="009B6A26" w:rsidP="004F3E31">
      <w:pPr>
        <w:tabs>
          <w:tab w:val="left" w:pos="0"/>
        </w:tabs>
        <w:ind w:left="-709" w:firstLine="425"/>
        <w:jc w:val="both"/>
        <w:rPr>
          <w:sz w:val="28"/>
          <w:szCs w:val="28"/>
        </w:rPr>
      </w:pPr>
      <w:r w:rsidRPr="004F3E31">
        <w:rPr>
          <w:bCs/>
          <w:sz w:val="28"/>
          <w:szCs w:val="28"/>
          <w:bdr w:val="none" w:sz="0" w:space="0" w:color="auto" w:frame="1"/>
          <w:lang w:eastAsia="uk-UA"/>
        </w:rPr>
        <w:t xml:space="preserve">- Директива № 2001/83/ЄС </w:t>
      </w:r>
      <w:r w:rsidRPr="004F3E31">
        <w:rPr>
          <w:sz w:val="28"/>
          <w:szCs w:val="28"/>
          <w:lang w:eastAsia="uk-UA"/>
        </w:rPr>
        <w:t xml:space="preserve">Європейського Парламенту та Ради </w:t>
      </w:r>
      <w:r w:rsidRPr="004F3E31">
        <w:rPr>
          <w:bCs/>
          <w:sz w:val="28"/>
          <w:szCs w:val="28"/>
          <w:bdr w:val="none" w:sz="0" w:space="0" w:color="auto" w:frame="1"/>
          <w:lang w:eastAsia="uk-UA"/>
        </w:rPr>
        <w:t>«</w:t>
      </w:r>
      <w:r w:rsidRPr="004F3E31">
        <w:rPr>
          <w:sz w:val="28"/>
          <w:szCs w:val="28"/>
        </w:rPr>
        <w:t>Кодекс Співтовариства відносно лікарських засобів (для застосування людиною)</w:t>
      </w:r>
      <w:r w:rsidRPr="004F3E31">
        <w:rPr>
          <w:bCs/>
          <w:sz w:val="28"/>
          <w:szCs w:val="28"/>
          <w:bdr w:val="none" w:sz="0" w:space="0" w:color="auto" w:frame="1"/>
          <w:lang w:eastAsia="uk-UA"/>
        </w:rPr>
        <w:t xml:space="preserve">» - </w:t>
      </w:r>
      <w:r w:rsidRPr="004F3E31">
        <w:rPr>
          <w:bCs/>
          <w:i/>
          <w:sz w:val="28"/>
          <w:szCs w:val="28"/>
          <w:bdr w:val="none" w:sz="0" w:space="0" w:color="auto" w:frame="1"/>
          <w:lang w:eastAsia="uk-UA"/>
        </w:rPr>
        <w:t>врахована комплексно, лягла в основу законопроекту.</w:t>
      </w:r>
      <w:r w:rsidRPr="004F3E31">
        <w:rPr>
          <w:bCs/>
          <w:sz w:val="28"/>
          <w:szCs w:val="28"/>
          <w:bdr w:val="none" w:sz="0" w:space="0" w:color="auto" w:frame="1"/>
          <w:lang w:eastAsia="uk-UA"/>
        </w:rPr>
        <w:t xml:space="preserve"> </w:t>
      </w:r>
    </w:p>
    <w:p w:rsidR="009B6A26" w:rsidRPr="004F3E31" w:rsidRDefault="009B6A26" w:rsidP="004F3E31">
      <w:pPr>
        <w:ind w:left="-709" w:firstLine="425"/>
        <w:jc w:val="both"/>
        <w:rPr>
          <w:sz w:val="28"/>
          <w:szCs w:val="28"/>
        </w:rPr>
      </w:pPr>
      <w:r w:rsidRPr="004F3E31">
        <w:rPr>
          <w:sz w:val="28"/>
          <w:szCs w:val="28"/>
        </w:rPr>
        <w:t xml:space="preserve">- Директива № 2004/23/ЄС Європейського Парламенту та Ради «Про встановлення стандартів якості та безпеки для донорства, отримання, перевірки, обробки, консервації, зберігання та розповсюдження тканин і клітин людини» - </w:t>
      </w:r>
      <w:r w:rsidRPr="004F3E31">
        <w:rPr>
          <w:i/>
          <w:sz w:val="28"/>
          <w:szCs w:val="28"/>
        </w:rPr>
        <w:t xml:space="preserve">врахована частково на рівні закріплення загальних правил (розділ ХІІ). </w:t>
      </w:r>
    </w:p>
    <w:p w:rsidR="009B6A26" w:rsidRPr="004F3E31" w:rsidRDefault="009B6A26" w:rsidP="004F3E31">
      <w:pPr>
        <w:ind w:left="-709" w:firstLine="425"/>
        <w:jc w:val="both"/>
        <w:rPr>
          <w:sz w:val="28"/>
          <w:szCs w:val="28"/>
        </w:rPr>
      </w:pPr>
      <w:r w:rsidRPr="004F3E31">
        <w:rPr>
          <w:sz w:val="28"/>
          <w:szCs w:val="28"/>
        </w:rPr>
        <w:t xml:space="preserve">- Директива № 2003/94/ЄC </w:t>
      </w:r>
      <w:r w:rsidRPr="004F3E31">
        <w:rPr>
          <w:sz w:val="28"/>
          <w:szCs w:val="28"/>
          <w:lang w:eastAsia="uk-UA"/>
        </w:rPr>
        <w:t xml:space="preserve">Європейського Парламенту та Ради </w:t>
      </w:r>
      <w:r w:rsidRPr="004F3E31">
        <w:rPr>
          <w:bCs/>
          <w:sz w:val="28"/>
          <w:szCs w:val="28"/>
          <w:bdr w:val="none" w:sz="0" w:space="0" w:color="auto" w:frame="1"/>
          <w:lang w:eastAsia="uk-UA"/>
        </w:rPr>
        <w:t>«</w:t>
      </w:r>
      <w:r w:rsidRPr="004F3E31">
        <w:rPr>
          <w:sz w:val="28"/>
          <w:szCs w:val="28"/>
        </w:rPr>
        <w:t>Про встановлення принципів і настанов належної виробничої практики щодо лікарських засобів для застосування людиною та досліджуваних лікарських засобів для застосування людиною</w:t>
      </w:r>
      <w:r w:rsidRPr="004F3E31">
        <w:rPr>
          <w:bCs/>
          <w:sz w:val="28"/>
          <w:szCs w:val="28"/>
          <w:bdr w:val="none" w:sz="0" w:space="0" w:color="auto" w:frame="1"/>
          <w:lang w:eastAsia="uk-UA"/>
        </w:rPr>
        <w:t xml:space="preserve">» - </w:t>
      </w:r>
      <w:r w:rsidRPr="004F3E31">
        <w:rPr>
          <w:bCs/>
          <w:i/>
          <w:sz w:val="28"/>
          <w:szCs w:val="28"/>
          <w:bdr w:val="none" w:sz="0" w:space="0" w:color="auto" w:frame="1"/>
          <w:lang w:eastAsia="uk-UA"/>
        </w:rPr>
        <w:t>вимоги належної виробничої практики реалізовані на підзаконному рівні, а також посилання на їх дотримання зроблені в тексті законопроекту, визначені кваліфікаційні вимоги та основні елементи правового статусу уповноваженої особи.</w:t>
      </w:r>
      <w:r w:rsidRPr="004F3E31">
        <w:rPr>
          <w:bCs/>
          <w:sz w:val="28"/>
          <w:szCs w:val="28"/>
          <w:bdr w:val="none" w:sz="0" w:space="0" w:color="auto" w:frame="1"/>
          <w:lang w:eastAsia="uk-UA"/>
        </w:rPr>
        <w:t xml:space="preserve"> </w:t>
      </w:r>
    </w:p>
    <w:p w:rsidR="009B6A26" w:rsidRPr="004F3E31" w:rsidRDefault="009B6A26" w:rsidP="004F3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425"/>
        <w:jc w:val="both"/>
        <w:textAlignment w:val="baseline"/>
        <w:rPr>
          <w:sz w:val="28"/>
          <w:szCs w:val="28"/>
          <w:lang w:eastAsia="uk-UA"/>
        </w:rPr>
      </w:pPr>
      <w:r w:rsidRPr="004F3E31">
        <w:rPr>
          <w:bCs/>
          <w:sz w:val="28"/>
          <w:szCs w:val="28"/>
          <w:bdr w:val="none" w:sz="0" w:space="0" w:color="auto" w:frame="1"/>
          <w:lang w:eastAsia="uk-UA"/>
        </w:rPr>
        <w:t xml:space="preserve">- Постанова (ЄС) № 1394/2007 Європейського Парламенту і Ради «Про лікарські засоби прогресивної терапії, що вносить зміни до Директиви 2001/83/ЄС і до Постанови (ЄС) № 726/2004» - </w:t>
      </w:r>
      <w:r w:rsidRPr="004F3E31">
        <w:rPr>
          <w:bCs/>
          <w:i/>
          <w:sz w:val="28"/>
          <w:szCs w:val="28"/>
          <w:bdr w:val="none" w:sz="0" w:space="0" w:color="auto" w:frame="1"/>
          <w:lang w:eastAsia="uk-UA"/>
        </w:rPr>
        <w:t>врахована у значній мірі (спеціальна стаття, розгорнуте визначення) крім порядку формування складу і порядку роботи владних інституцій.</w:t>
      </w:r>
      <w:r w:rsidRPr="004F3E31">
        <w:rPr>
          <w:bCs/>
          <w:sz w:val="28"/>
          <w:szCs w:val="28"/>
          <w:bdr w:val="none" w:sz="0" w:space="0" w:color="auto" w:frame="1"/>
          <w:lang w:eastAsia="uk-UA"/>
        </w:rPr>
        <w:t xml:space="preserve"> </w:t>
      </w:r>
    </w:p>
    <w:p w:rsidR="009B6A26" w:rsidRPr="004F3E31" w:rsidRDefault="009B6A26" w:rsidP="004F3E31">
      <w:pPr>
        <w:ind w:left="-709" w:firstLine="425"/>
        <w:jc w:val="both"/>
        <w:rPr>
          <w:sz w:val="28"/>
          <w:szCs w:val="28"/>
        </w:rPr>
      </w:pPr>
      <w:r w:rsidRPr="004F3E31">
        <w:rPr>
          <w:bCs/>
          <w:sz w:val="28"/>
          <w:szCs w:val="28"/>
          <w:bdr w:val="none" w:sz="0" w:space="0" w:color="auto" w:frame="1"/>
          <w:lang w:eastAsia="uk-UA"/>
        </w:rPr>
        <w:t xml:space="preserve">- Постанова </w:t>
      </w:r>
      <w:r w:rsidRPr="004F3E31">
        <w:rPr>
          <w:sz w:val="28"/>
          <w:szCs w:val="28"/>
          <w:lang w:eastAsia="uk-UA"/>
        </w:rPr>
        <w:t xml:space="preserve">(ЄС) № 141/2000 </w:t>
      </w:r>
      <w:r w:rsidRPr="004F3E31">
        <w:rPr>
          <w:bCs/>
          <w:sz w:val="28"/>
          <w:szCs w:val="28"/>
          <w:bdr w:val="none" w:sz="0" w:space="0" w:color="auto" w:frame="1"/>
          <w:lang w:eastAsia="uk-UA"/>
        </w:rPr>
        <w:t>Європейського Парламенту і Ради «</w:t>
      </w:r>
      <w:r w:rsidRPr="004F3E31">
        <w:rPr>
          <w:sz w:val="28"/>
          <w:szCs w:val="28"/>
          <w:lang w:eastAsia="uk-UA"/>
        </w:rPr>
        <w:t xml:space="preserve">Про орфанні лікарські засоби» - </w:t>
      </w:r>
      <w:r w:rsidRPr="004F3E31">
        <w:rPr>
          <w:i/>
          <w:sz w:val="28"/>
          <w:szCs w:val="28"/>
          <w:lang w:eastAsia="uk-UA"/>
        </w:rPr>
        <w:t>врахована у формі спеціальної статті, а також щодо деяких особливостей по тексту законопроекту (маркування).</w:t>
      </w:r>
      <w:r w:rsidRPr="004F3E31">
        <w:rPr>
          <w:sz w:val="28"/>
          <w:szCs w:val="28"/>
          <w:lang w:eastAsia="uk-UA"/>
        </w:rPr>
        <w:t xml:space="preserve"> </w:t>
      </w:r>
    </w:p>
    <w:p w:rsidR="009B6A26" w:rsidRPr="004F3E31" w:rsidRDefault="009B6A26" w:rsidP="004F3E31">
      <w:pPr>
        <w:ind w:left="-709" w:firstLine="425"/>
        <w:jc w:val="both"/>
        <w:rPr>
          <w:sz w:val="28"/>
          <w:szCs w:val="28"/>
        </w:rPr>
      </w:pPr>
      <w:r w:rsidRPr="004F3E31">
        <w:rPr>
          <w:sz w:val="28"/>
          <w:szCs w:val="28"/>
        </w:rPr>
        <w:t xml:space="preserve">- Постанова (ЄС) № 1901/2006 </w:t>
      </w:r>
      <w:r w:rsidRPr="004F3E31">
        <w:rPr>
          <w:bCs/>
          <w:sz w:val="28"/>
          <w:szCs w:val="28"/>
          <w:bdr w:val="none" w:sz="0" w:space="0" w:color="auto" w:frame="1"/>
          <w:lang w:eastAsia="uk-UA"/>
        </w:rPr>
        <w:t>Європейського Парламенту і Ради «П</w:t>
      </w:r>
      <w:r w:rsidRPr="004F3E31">
        <w:rPr>
          <w:sz w:val="28"/>
          <w:szCs w:val="28"/>
        </w:rPr>
        <w:t>ро лікарські засоби для педіатричного застосування та що вносить зміни у постанову (ЕЄС) № 1768/92, директиву 2001/20/ЄС, директиву 2001/83/ЄС та постанову (ЕЄС) №726/2004»</w:t>
      </w:r>
      <w:r w:rsidRPr="004F3E31">
        <w:rPr>
          <w:sz w:val="28"/>
          <w:szCs w:val="28"/>
          <w:lang w:eastAsia="uk-UA"/>
        </w:rPr>
        <w:t xml:space="preserve"> - </w:t>
      </w:r>
      <w:r w:rsidRPr="004F3E31">
        <w:rPr>
          <w:i/>
          <w:sz w:val="28"/>
          <w:szCs w:val="28"/>
          <w:lang w:eastAsia="uk-UA"/>
        </w:rPr>
        <w:t>врахована у спеціальній статті, питання ж у цілому підлягає врегулюванню на підзаконному рівні.</w:t>
      </w:r>
    </w:p>
    <w:p w:rsidR="009B6A26" w:rsidRPr="004F3E31" w:rsidRDefault="009B6A26" w:rsidP="004F3E31">
      <w:pPr>
        <w:pStyle w:val="PlainText"/>
        <w:tabs>
          <w:tab w:val="left" w:pos="0"/>
        </w:tabs>
        <w:ind w:left="-709" w:firstLine="425"/>
        <w:jc w:val="both"/>
        <w:rPr>
          <w:rFonts w:ascii="Times New Roman" w:hAnsi="Times New Roman"/>
          <w:sz w:val="28"/>
          <w:szCs w:val="28"/>
          <w:lang w:val="uk-UA"/>
        </w:rPr>
      </w:pPr>
      <w:r w:rsidRPr="004F3E31">
        <w:rPr>
          <w:rFonts w:ascii="Times New Roman" w:hAnsi="Times New Roman"/>
          <w:sz w:val="28"/>
          <w:szCs w:val="28"/>
          <w:lang w:val="uk-UA"/>
        </w:rPr>
        <w:t xml:space="preserve">- Постанова (ЄС) № 726/2004 </w:t>
      </w:r>
      <w:r w:rsidRPr="004F3E31">
        <w:rPr>
          <w:rFonts w:ascii="Times New Roman" w:hAnsi="Times New Roman"/>
          <w:bCs/>
          <w:sz w:val="28"/>
          <w:szCs w:val="28"/>
          <w:bdr w:val="none" w:sz="0" w:space="0" w:color="auto" w:frame="1"/>
          <w:lang w:val="uk-UA" w:eastAsia="uk-UA"/>
        </w:rPr>
        <w:t xml:space="preserve">Європейського Парламенту і Ради «Про встановлення процедур Спільноти для отримання торгової ліцензії та нагляду за обігом лікарських засобів, призначених для людей і застосування у ветеринарії, а також створення Європейського агентства з лікарських засобів» - </w:t>
      </w:r>
      <w:r w:rsidRPr="004F3E31">
        <w:rPr>
          <w:rFonts w:ascii="Times New Roman" w:hAnsi="Times New Roman"/>
          <w:bCs/>
          <w:i/>
          <w:sz w:val="28"/>
          <w:szCs w:val="28"/>
          <w:bdr w:val="none" w:sz="0" w:space="0" w:color="auto" w:frame="1"/>
          <w:lang w:val="uk-UA" w:eastAsia="uk-UA"/>
        </w:rPr>
        <w:t>закріплені загальний і окремі спеціальні порядки видачі торгових ліцензій, зроблені посилання на цей спеціальний порядок, який має бути урегульований на</w:t>
      </w:r>
      <w:r w:rsidRPr="004F3E31">
        <w:rPr>
          <w:rFonts w:ascii="Times New Roman" w:hAnsi="Times New Roman"/>
          <w:i/>
          <w:sz w:val="28"/>
          <w:szCs w:val="28"/>
          <w:lang w:val="uk-UA" w:eastAsia="uk-UA"/>
        </w:rPr>
        <w:t xml:space="preserve"> підзаконному рівні.</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xml:space="preserve">Необхідність прийняття запропонованого проекту обумовлюється також переглядом засад регулювання у сфері обігу лікарських засобів, зміщенням основних акцентів в напряму належного забезпечення прав пацієнтів у цій сфері, підвищення рівня якості, ефективності та безпеки лікарських засобів, а також їх доступності. </w:t>
      </w:r>
    </w:p>
    <w:p w:rsidR="009B6A26" w:rsidRPr="004F3E31" w:rsidRDefault="009B6A26" w:rsidP="004F3E31">
      <w:pPr>
        <w:spacing w:before="100" w:beforeAutospacing="1" w:after="100" w:afterAutospacing="1"/>
        <w:ind w:left="-709" w:firstLine="425"/>
        <w:jc w:val="both"/>
        <w:rPr>
          <w:color w:val="000000"/>
          <w:sz w:val="28"/>
          <w:szCs w:val="28"/>
        </w:rPr>
      </w:pPr>
      <w:r w:rsidRPr="004F3E31">
        <w:rPr>
          <w:sz w:val="28"/>
          <w:szCs w:val="28"/>
          <w:lang w:eastAsia="uk-UA"/>
        </w:rPr>
        <w:t>У проекті Закону "</w:t>
      </w:r>
      <w:r w:rsidRPr="004F3E31">
        <w:rPr>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4F3E31">
        <w:rPr>
          <w:sz w:val="28"/>
          <w:szCs w:val="28"/>
          <w:lang w:eastAsia="uk-UA"/>
        </w:rPr>
        <w:t>" пропонується реалізовувати д</w:t>
      </w:r>
      <w:r w:rsidRPr="004F3E31">
        <w:rPr>
          <w:sz w:val="28"/>
          <w:szCs w:val="28"/>
        </w:rPr>
        <w:t xml:space="preserve">ержавну політику щодо ефективності, якості та безпеки лікарських засобів </w:t>
      </w:r>
      <w:r w:rsidRPr="004F3E31">
        <w:rPr>
          <w:color w:val="000000"/>
          <w:sz w:val="28"/>
          <w:szCs w:val="28"/>
        </w:rPr>
        <w:t xml:space="preserve">ґрунтуючись на засадах: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регулювання виробництва, реалізації та застосування лікарських засобів з метою охорони здоров'я населення;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забезпечення вилучення з обігу неякісних лікарських засобів, протидії розповсюдженню фальсифікованих препаратів і забезпечення належних умов зберігання, транспортування і обігу лікарських засобів;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реалізації права на повну, достовірну інформацію про лікарський засіб і доступність її одержання;</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переважаючого впливу показника ризику/користі від застосування лікарського засобу при прийнятті рішення щодо допуску його на ринок;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здійснення контролю якості лікарських засобів, що виробляються в Україні та в інших державах і імпортуються в Україну;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однозначності та чіткої визначеності підстав, за наявності яких не вимагається надання результатів доклінічних і клінічних досліджень для одержання торгової ліцензії на генеричний лікарський засіб;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спрощення доступу на ринок гомеопатичних лікарських засобів, що виготовляються без терапевтичних показань, у лікарській формі і дозуваннях, які не становлять небезпеки для хворого;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пріоритетності самозабезпечення України кров'ю і плазмою людини, заохочення добровільної здачі крові і плазми;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забезпечення передумов розвитку фармацевтичної промисловості України та торгівлі;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ліцензування у сфері виробництва лікарських засобів, оптової та роздрібної торгівлі лікарськими засобами, імпорту лікарських засобів в інтересах захисту суспільного здоров’я;</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встановлення обґрунтованих обмежень у рекламуванні лікарських засобів;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визнання важливої ролі медичних торгових представників у промоції лікарських засобів;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постійного вдосконалення системи фармаконагляду у відповідності з досягненнями науково-технічного прогресу, враховуючи міжнародну гармонізацію термінології та технологічних розробок, розширення засобів електронного обміну повідомленнями про побічні реакції лікарських засобів; </w:t>
      </w:r>
    </w:p>
    <w:p w:rsidR="009B6A26" w:rsidRPr="004F3E31" w:rsidRDefault="009B6A26" w:rsidP="004F3E31">
      <w:pPr>
        <w:spacing w:before="100" w:beforeAutospacing="1" w:after="100" w:afterAutospacing="1"/>
        <w:ind w:left="-709" w:firstLine="425"/>
        <w:jc w:val="both"/>
        <w:rPr>
          <w:sz w:val="28"/>
          <w:szCs w:val="28"/>
        </w:rPr>
      </w:pPr>
      <w:r w:rsidRPr="004F3E31">
        <w:rPr>
          <w:sz w:val="28"/>
          <w:szCs w:val="28"/>
        </w:rPr>
        <w:t xml:space="preserve">– персональної відповідальності власників торгових ліцензій за здійснення безперервного фармаконагляду за лікарськими засобами, які вони розмістили на ринку. </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2. Цілі та завдання проекту</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Метою законопроекту є врегулювання правовідносин у сфері обігу лікарських засобів, пов'язаних зі створенням, видачею торгових ліцензій, виробництвом, імпортом, оптовою і дистанційною торгівлею, контролем якості лікарських засобів, визначення прав та обов'язків учасників цих відносин, а також повноважень органів державної влади у цій сфері.</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Реалізація запропонованих законопроектом норм забезпечить:</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 xml:space="preserve">усунення термінологічних неузгодженостей, що містяться у законодавстві України та адаптування термінології у цій сфері до актів законодавства ЄС; </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встановлення правил розміщення лікарських засобів, призначених для застосування людьми, з урахуванням спеціальних вимог щодо референтних і генеричних лікарських засобів, гомеопатичних,</w:t>
      </w:r>
      <w:r w:rsidRPr="004F3E31">
        <w:rPr>
          <w:sz w:val="28"/>
          <w:szCs w:val="28"/>
        </w:rPr>
        <w:t xml:space="preserve"> </w:t>
      </w:r>
      <w:r w:rsidRPr="004F3E31">
        <w:rPr>
          <w:sz w:val="28"/>
          <w:szCs w:val="28"/>
          <w:lang w:eastAsia="uk-UA"/>
        </w:rPr>
        <w:t>традиційних рослинних лікарських засобів, педіатричних, високотехнологічних і орфанних лікарських засобів тощо;</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регламентацію на рівні закону процедур, що стосуються видачі торгової ліцензії на лікарський засіб;</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закріплення спеціальних положень щодо ліцензування у сфері виробництва, оптової торгівлі, імпорту лікарських засобів (крім активних фармацевтичних інгредієнтів);</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визначення змісту маркування упаковки лікарського засобу та вимог до характеристик його безпеки;</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упорядкування класифікації лікарських засобів;</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встановлення правил дистанційної торгівлі лікарськими засобами населенню;</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визначення особливостей рекламування та деталізацію положень інформаційної політики щодо лікарських засобів;</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комплексний підхід у нормативному регулюванні системи фармаконагляду;</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закріплення загальних вимог щодо лікарських засобів, отриманих з крові і плазми крові людини;</w:t>
      </w:r>
    </w:p>
    <w:p w:rsidR="009B6A26" w:rsidRPr="004F3E31" w:rsidRDefault="009B6A26" w:rsidP="004F3E31">
      <w:pPr>
        <w:pStyle w:val="ListParagraph"/>
        <w:numPr>
          <w:ilvl w:val="0"/>
          <w:numId w:val="2"/>
        </w:numPr>
        <w:spacing w:before="100" w:beforeAutospacing="1" w:after="100" w:afterAutospacing="1"/>
        <w:ind w:left="-709" w:firstLine="425"/>
        <w:jc w:val="both"/>
        <w:rPr>
          <w:sz w:val="28"/>
          <w:szCs w:val="28"/>
          <w:lang w:eastAsia="uk-UA"/>
        </w:rPr>
      </w:pPr>
      <w:r w:rsidRPr="004F3E31">
        <w:rPr>
          <w:sz w:val="28"/>
          <w:szCs w:val="28"/>
          <w:lang w:eastAsia="uk-UA"/>
        </w:rPr>
        <w:t>дієвість механізму нагляду та контролю у сфері обігу лікарських засобів і відповідальності осіб за порушення</w:t>
      </w:r>
      <w:r w:rsidRPr="004F3E31">
        <w:rPr>
          <w:sz w:val="28"/>
          <w:szCs w:val="28"/>
        </w:rPr>
        <w:t xml:space="preserve"> </w:t>
      </w:r>
      <w:r w:rsidRPr="004F3E31">
        <w:rPr>
          <w:sz w:val="28"/>
          <w:szCs w:val="28"/>
          <w:lang w:eastAsia="uk-UA"/>
        </w:rPr>
        <w:t>законодавства про лікарські засоби, виходячи із необхідності забезпечення прав споживачів у цій сфері.</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3. Загальна характеристика і основні положення проекту акта</w:t>
      </w:r>
    </w:p>
    <w:p w:rsidR="009B6A26" w:rsidRPr="004F3E31" w:rsidRDefault="009B6A26" w:rsidP="004F3E31">
      <w:pPr>
        <w:spacing w:before="100" w:beforeAutospacing="1" w:after="100" w:afterAutospacing="1"/>
        <w:ind w:left="-709" w:firstLine="425"/>
        <w:jc w:val="both"/>
        <w:rPr>
          <w:bCs/>
          <w:sz w:val="28"/>
          <w:szCs w:val="28"/>
          <w:lang w:eastAsia="uk-UA"/>
        </w:rPr>
      </w:pPr>
      <w:r w:rsidRPr="004F3E31">
        <w:rPr>
          <w:sz w:val="28"/>
          <w:szCs w:val="28"/>
          <w:lang w:eastAsia="uk-UA"/>
        </w:rPr>
        <w:t>Проект Закону "</w:t>
      </w:r>
      <w:r w:rsidRPr="004F3E31">
        <w:rPr>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4F3E31">
        <w:rPr>
          <w:sz w:val="28"/>
          <w:szCs w:val="28"/>
          <w:lang w:eastAsia="uk-UA"/>
        </w:rPr>
        <w:t xml:space="preserve">" структурно побудований у відповідності з </w:t>
      </w:r>
      <w:r w:rsidRPr="004F3E31">
        <w:rPr>
          <w:bCs/>
          <w:sz w:val="28"/>
          <w:szCs w:val="28"/>
          <w:lang w:eastAsia="uk-UA"/>
        </w:rPr>
        <w:t xml:space="preserve">Директивою № 2001/83/ЄС </w:t>
      </w:r>
      <w:r w:rsidRPr="004F3E31">
        <w:rPr>
          <w:sz w:val="28"/>
          <w:szCs w:val="28"/>
          <w:lang w:eastAsia="uk-UA"/>
        </w:rPr>
        <w:t xml:space="preserve">Європейського Парламенту та Ради </w:t>
      </w:r>
      <w:r w:rsidRPr="004F3E31">
        <w:rPr>
          <w:bCs/>
          <w:sz w:val="28"/>
          <w:szCs w:val="28"/>
          <w:lang w:eastAsia="uk-UA"/>
        </w:rPr>
        <w:t>«</w:t>
      </w:r>
      <w:r w:rsidRPr="004F3E31">
        <w:rPr>
          <w:sz w:val="28"/>
          <w:szCs w:val="28"/>
          <w:lang w:eastAsia="uk-UA"/>
        </w:rPr>
        <w:t>Кодекс Співтовариства відносно лікарських засобів (для застосування людиною)</w:t>
      </w:r>
      <w:r w:rsidRPr="004F3E31">
        <w:rPr>
          <w:bCs/>
          <w:sz w:val="28"/>
          <w:szCs w:val="28"/>
          <w:lang w:eastAsia="uk-UA"/>
        </w:rPr>
        <w:t>».</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Цим законопроектом пропонується закріпити на рівні закону широкий перелік термінів з метою їх уніфікації у національному законодавстві та адаптації до законодавства ЄС.</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Для реалізації цього проекту планується закріпити перерозподіл повноважень органів виконавчої влади у сфері обігу лікарських засобів з метою усунення дублювання функцій цих органів. Пропонується поширити компетенцію центрального органу виконавчої влади, що забезпечує формування державної політики у сфері охорони здоров'я (МОЗ України) на затвердження основних порядків та положень, спрямованих на реалізацію норм Закону України "</w:t>
      </w:r>
      <w:r w:rsidRPr="004F3E31">
        <w:rPr>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4F3E31">
        <w:rPr>
          <w:sz w:val="28"/>
          <w:szCs w:val="28"/>
          <w:lang w:eastAsia="uk-UA"/>
        </w:rPr>
        <w:t>", а на Державну службу України з лікарських засобів та контрою за наркотиками як на орган державного контролю покласти фактичне виконання цих актів та контроль за їх реалізацією.</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У проекті встановлюються вимоги до змісту заяви на отримання торгової ліцензії на лікарський засіб, вимоги до досьє, характеристики лікарських засобів тощо. Встановлюються максимальні строки для прийняття рішення за заявою на отримання торгової ліцензії на лікарський засіб, умови її видачі, додаткові зобов'язання власника торгової ліцензії щодо післяліцензійних досліджень безпеки та ефективності лікарського засобу, строк чинності торгової ліцензії та умови його подовження, підстави для відмови у її видачі. Зокрема, встановлюється п’ятирічний строк чинності торгової ліцензії на лікарський засіб з можливістю подальшого подовження цього строку на необмежений період.</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xml:space="preserve">З метою реалізації положень п. 10 ч. 1 ст. 7 Закону України «Про ліцензування видів господарської діяльності» розділи 4 та 7 запропонованого проекту містять особливі вимоги та процедури щодо ліцензування у сфері виробництва та імпорту, оптової торгівлі лікарськими засобами. </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Окремий розділ проекту присвячено правилам рекламування лікарських засобів. Положеннями проекту встановлено, що призначення лікарських засобів здійснюється об’єктивно, без впливу прямих і непрямих фінансових стимулів; безоплатні зразки лікарських засобів надаються з дотриманням публічних обмежень і лише для ознайомлення з новими препаратами, одержання досвіду їх використання; забезпечується вільний доступ до незалежних і об’єктивних джерел інформації про лікарські засоби, представлені на ринку.</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У Проекті Закону "</w:t>
      </w:r>
      <w:r w:rsidRPr="004F3E31">
        <w:rPr>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4F3E31">
        <w:rPr>
          <w:sz w:val="28"/>
          <w:szCs w:val="28"/>
          <w:lang w:eastAsia="uk-UA"/>
        </w:rPr>
        <w:t xml:space="preserve">" закріплені підходи з гармонізації нормативного забезпечення діяльності у сфері обігу лікарських засобів, визначення порядку закріплення і застосування вимог належних практик (GMP, </w:t>
      </w:r>
      <w:r w:rsidRPr="004F3E31">
        <w:rPr>
          <w:sz w:val="28"/>
          <w:szCs w:val="28"/>
          <w:lang w:val="en-US" w:eastAsia="uk-UA"/>
        </w:rPr>
        <w:t>GDP</w:t>
      </w:r>
      <w:r w:rsidRPr="004F3E31">
        <w:rPr>
          <w:sz w:val="28"/>
          <w:szCs w:val="28"/>
          <w:lang w:eastAsia="uk-UA"/>
        </w:rPr>
        <w:t xml:space="preserve">, </w:t>
      </w:r>
      <w:r w:rsidRPr="004F3E31">
        <w:rPr>
          <w:sz w:val="28"/>
          <w:szCs w:val="28"/>
          <w:lang w:val="en-US" w:eastAsia="uk-UA"/>
        </w:rPr>
        <w:t>GCP</w:t>
      </w:r>
      <w:r w:rsidRPr="004F3E31">
        <w:rPr>
          <w:sz w:val="28"/>
          <w:szCs w:val="28"/>
          <w:lang w:eastAsia="uk-UA"/>
        </w:rPr>
        <w:t xml:space="preserve">, </w:t>
      </w:r>
      <w:r w:rsidRPr="004F3E31">
        <w:rPr>
          <w:sz w:val="28"/>
          <w:szCs w:val="28"/>
          <w:lang w:val="en-US" w:eastAsia="uk-UA"/>
        </w:rPr>
        <w:t>GSP</w:t>
      </w:r>
      <w:r w:rsidRPr="004F3E31">
        <w:rPr>
          <w:sz w:val="28"/>
          <w:szCs w:val="28"/>
          <w:lang w:eastAsia="uk-UA"/>
        </w:rPr>
        <w:t xml:space="preserve">) у законодавстві України. </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Значна увага у проекті приділена заходам з побудови системи фармаконагляду, здійснення оцінки наявної інформації про ризики використання лікарських засобів, розгляду варіантів мінімізації та запобігання ризикам здоров’я пацієнтів та/або здоров’я населення, і вжиття регуляторних заходів у межах процедур, пов’язаних із видачею торгових ліцензій на лікарські засоби.</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В межах процедур дерегуляції та спрощення умов ведення бізнесу, зниження рівня корупції, з обов’язковим врахуванням прав та інтересів споживачів у сфері обігу лікарських засобів у законопроекті встановлюються прозорі механізми нагляду та контролю у сфері обігу лікарських засобів і відповідальності осіб за порушення законодавства про лікарські засоби.</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Для забезпечення стабільності нормативної основи та адаптації змісту матеріалів реєстраційного досьє на лікарський засіб до положень актів ЄС пропонується визначити стандартні та спеціальні вимоги до матеріалів реєстраційного досьє на лікарський засіб за різними типами заяв на видачу торгових ліцензій та закріпити їх у якості додатку до закону.</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xml:space="preserve">З метою реалізації цілей та завдань законопроекту пропонується внести зміни до законодавчих актів України (зокрема, Законів України «Про рекламу» і «Про основні засади державного нагляду (контролю) у сфері господарської діяльності») та привести підзаконні нормативно-правові акти у відповідність з його положеннями, зокрема, затвердити аналітичні, фармакотоксикологічні та клінічні стандарти і протоколи, що стосуються випробувань лікарських засобів, закріплені у Додатку 1 до Директиви </w:t>
      </w:r>
      <w:r w:rsidRPr="004F3E31">
        <w:rPr>
          <w:bCs/>
          <w:sz w:val="28"/>
          <w:szCs w:val="28"/>
          <w:lang w:eastAsia="uk-UA"/>
        </w:rPr>
        <w:t xml:space="preserve">№ 2001/83/ЄС </w:t>
      </w:r>
      <w:r w:rsidRPr="004F3E31">
        <w:rPr>
          <w:sz w:val="28"/>
          <w:szCs w:val="28"/>
          <w:lang w:eastAsia="uk-UA"/>
        </w:rPr>
        <w:t xml:space="preserve">Європейського Парламенту та Ради </w:t>
      </w:r>
      <w:r w:rsidRPr="004F3E31">
        <w:rPr>
          <w:bCs/>
          <w:sz w:val="28"/>
          <w:szCs w:val="28"/>
          <w:lang w:eastAsia="uk-UA"/>
        </w:rPr>
        <w:t>«</w:t>
      </w:r>
      <w:r w:rsidRPr="004F3E31">
        <w:rPr>
          <w:sz w:val="28"/>
          <w:szCs w:val="28"/>
          <w:lang w:eastAsia="uk-UA"/>
        </w:rPr>
        <w:t>Кодекс Співтовариства відносно лікарських засобів (для застосування людиною)</w:t>
      </w:r>
      <w:r w:rsidRPr="004F3E31">
        <w:rPr>
          <w:bCs/>
          <w:sz w:val="28"/>
          <w:szCs w:val="28"/>
          <w:lang w:eastAsia="uk-UA"/>
        </w:rPr>
        <w:t>», здійснити заходи з підготовки проектів актів законодавства щодо імплементації вимог Директиви ЄС від 31 березня 2004 року № 2004/23/ЄС «</w:t>
      </w:r>
      <w:r w:rsidRPr="004F3E31">
        <w:rPr>
          <w:sz w:val="28"/>
          <w:szCs w:val="28"/>
        </w:rPr>
        <w:t>Про встановлення стандартів якості та безпеки для донорства, отримання, перевірки, обробки, консервації, зберігання та розповсюдження тканин і клітин людини</w:t>
      </w:r>
      <w:r w:rsidRPr="004F3E31">
        <w:rPr>
          <w:bCs/>
          <w:sz w:val="28"/>
          <w:szCs w:val="28"/>
          <w:lang w:eastAsia="uk-UA"/>
        </w:rPr>
        <w:t>» тощо.</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4. Стан нормативно-правової бази в даній сфері правового регулювання</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Нормативно-правовими актами у даній сфері правового регулювання є Конституція України, закони України "Про лікарські засоби", "Основи законодавства України про охорону здоров'я" та інші.</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5. Фінансово-економічне обґрунтування</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Реалізація законопроекту не потребує додаткових витрат з Державного бюджету України.</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6. Прогноз соціально-економічних та інших наслідків прийняття Закону</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xml:space="preserve">Прийняття законопроекту стане важливим кроком на шляху удосконалення національної системи охорони здоров'я України через формування дієвих та ефективних механізмів регулювання відносин у сфері обігу лікарських засобів. </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Прийняття цього законопроекту дозволить:</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підвищити рівень захисту здоров'я та інтересів споживачів;</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забезпечити захист споживачів від небезпечних, неефективних та неякісних лікарських засобів;</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вдосконалити систему контролю якості лікарських засобів з урахуванням вимог законодавства ЄС та мінімізувати негативні наслідки необґрунтованого державного втручання у сферу виробництва та обігу лікарських засобів;</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чітко урегулювати відносини між органами виконавчої влади, операторами фармацевтичного ринку та споживачами лікарських засобів, і визначити порядок забезпечення якості лікарських засобів, що виробляються, імпортуються та перебувають в обігу;</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знизити рівень корупції під час введення на ринок та обігу лікарських засобів;</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підвищити доступність безпечних, ефективних та якісних лікарських засобів на ринок України;</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знизити вартість лікарських засобів тощо.</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b/>
          <w:bCs/>
          <w:sz w:val="28"/>
          <w:szCs w:val="28"/>
          <w:lang w:eastAsia="uk-UA"/>
        </w:rPr>
        <w:t>7. Громадське обговорення</w:t>
      </w:r>
    </w:p>
    <w:p w:rsidR="009B6A26" w:rsidRPr="004F3E31" w:rsidRDefault="009B6A26" w:rsidP="004F3E31">
      <w:pPr>
        <w:spacing w:before="100" w:beforeAutospacing="1" w:after="100" w:afterAutospacing="1"/>
        <w:ind w:left="-709" w:firstLine="425"/>
        <w:jc w:val="both"/>
        <w:rPr>
          <w:sz w:val="28"/>
          <w:szCs w:val="28"/>
          <w:lang w:eastAsia="uk-UA"/>
        </w:rPr>
      </w:pPr>
      <w:r w:rsidRPr="004F3E31">
        <w:rPr>
          <w:sz w:val="28"/>
          <w:szCs w:val="28"/>
          <w:lang w:eastAsia="uk-UA"/>
        </w:rPr>
        <w:t xml:space="preserve">Концептуальні засади та структура проекту Закону були опубліковані у щотижневику "Аптека" № 4 (975) 2 лютого 2015 р. та на її сайті </w:t>
      </w:r>
      <w:hyperlink r:id="rId5" w:history="1">
        <w:r w:rsidRPr="0018661F">
          <w:rPr>
            <w:rStyle w:val="Hyperlink"/>
            <w:color w:val="auto"/>
            <w:sz w:val="28"/>
            <w:szCs w:val="28"/>
            <w:u w:val="none"/>
            <w:lang w:eastAsia="uk-UA"/>
          </w:rPr>
          <w:t>http://www.apteka.ua/article/321483</w:t>
        </w:r>
      </w:hyperlink>
      <w:r w:rsidRPr="0018661F">
        <w:rPr>
          <w:sz w:val="28"/>
          <w:szCs w:val="28"/>
          <w:lang w:eastAsia="uk-UA"/>
        </w:rPr>
        <w:t>, а також обговорені на круглому столі,</w:t>
      </w:r>
      <w:r w:rsidRPr="00027857">
        <w:rPr>
          <w:sz w:val="28"/>
          <w:szCs w:val="28"/>
          <w:lang w:eastAsia="uk-UA"/>
        </w:rPr>
        <w:t xml:space="preserve"> </w:t>
      </w:r>
      <w:r w:rsidRPr="004F3E31">
        <w:rPr>
          <w:sz w:val="28"/>
          <w:szCs w:val="28"/>
          <w:lang w:eastAsia="uk-UA"/>
        </w:rPr>
        <w:t>присвяченому шляхам удосконалення законодавства у сфері обігу лікарських засобів, що відбувся 17 лютого 2015 р. на базі Полтавського юридичного інституту Національного університету «Юридична академія ім. Ярослава Мудрого» та науково-практичному семінарі «Стан та перспективи розвитку фармацевтичного ринку: нормативно-правове забезпечення» (28.04.2015 р., м. Полтава).</w:t>
      </w:r>
    </w:p>
    <w:p w:rsidR="009B6A26" w:rsidRDefault="009B6A26" w:rsidP="000D7D50">
      <w:pPr>
        <w:pStyle w:val="Heading3"/>
        <w:jc w:val="left"/>
        <w:rPr>
          <w:bCs/>
        </w:rPr>
      </w:pPr>
      <w:r w:rsidRPr="00401B01">
        <w:rPr>
          <w:b/>
        </w:rPr>
        <w:t>Народні депутати України</w:t>
      </w:r>
      <w:r>
        <w:rPr>
          <w:b/>
        </w:rPr>
        <w:t xml:space="preserve">              </w:t>
      </w:r>
      <w:r>
        <w:tab/>
      </w:r>
      <w:r>
        <w:tab/>
        <w:t xml:space="preserve">          </w:t>
      </w:r>
      <w:r w:rsidRPr="000D7D50">
        <w:rPr>
          <w:b/>
          <w:bCs/>
        </w:rPr>
        <w:t>І.В. Сисоєнко</w:t>
      </w:r>
    </w:p>
    <w:p w:rsidR="009B6A26" w:rsidRDefault="009B6A26" w:rsidP="000D7D50">
      <w:pPr>
        <w:ind w:left="4956"/>
        <w:jc w:val="center"/>
        <w:rPr>
          <w:b/>
          <w:sz w:val="28"/>
          <w:szCs w:val="28"/>
        </w:rPr>
      </w:pPr>
      <w:r>
        <w:rPr>
          <w:b/>
          <w:sz w:val="28"/>
          <w:szCs w:val="28"/>
        </w:rPr>
        <w:t xml:space="preserve">         О.В. Богомолець</w:t>
      </w:r>
    </w:p>
    <w:p w:rsidR="009B6A26" w:rsidRDefault="009B6A26" w:rsidP="000D7D50">
      <w:pPr>
        <w:ind w:left="4956"/>
        <w:rPr>
          <w:b/>
          <w:sz w:val="28"/>
          <w:szCs w:val="28"/>
        </w:rPr>
      </w:pPr>
      <w:r>
        <w:rPr>
          <w:b/>
          <w:sz w:val="28"/>
          <w:szCs w:val="28"/>
        </w:rPr>
        <w:t xml:space="preserve">                     О. М.Біловол</w:t>
      </w:r>
    </w:p>
    <w:p w:rsidR="009B6A26" w:rsidRDefault="009B6A26" w:rsidP="000D7D50">
      <w:pPr>
        <w:ind w:left="4956"/>
        <w:rPr>
          <w:b/>
          <w:sz w:val="28"/>
          <w:szCs w:val="28"/>
        </w:rPr>
      </w:pPr>
      <w:r>
        <w:rPr>
          <w:b/>
          <w:sz w:val="28"/>
          <w:szCs w:val="28"/>
        </w:rPr>
        <w:tab/>
        <w:t xml:space="preserve">           Т.Д. Бахтєєва</w:t>
      </w:r>
    </w:p>
    <w:p w:rsidR="009B6A26" w:rsidRDefault="009B6A26" w:rsidP="000D7D50">
      <w:pPr>
        <w:ind w:firstLine="567"/>
        <w:jc w:val="center"/>
        <w:rPr>
          <w:b/>
          <w:sz w:val="28"/>
          <w:szCs w:val="28"/>
        </w:rPr>
      </w:pPr>
      <w:r>
        <w:rPr>
          <w:sz w:val="28"/>
          <w:szCs w:val="28"/>
        </w:rPr>
        <w:t xml:space="preserve">                                                                         </w:t>
      </w:r>
      <w:r>
        <w:rPr>
          <w:b/>
          <w:sz w:val="28"/>
          <w:szCs w:val="28"/>
        </w:rPr>
        <w:t>О.А. Корчинська</w:t>
      </w:r>
    </w:p>
    <w:p w:rsidR="009B6A26" w:rsidRDefault="009B6A26" w:rsidP="000D7D50">
      <w:pPr>
        <w:ind w:firstLine="567"/>
        <w:jc w:val="center"/>
        <w:rPr>
          <w:b/>
          <w:sz w:val="28"/>
          <w:szCs w:val="28"/>
        </w:rPr>
      </w:pPr>
      <w:r>
        <w:rPr>
          <w:sz w:val="28"/>
          <w:szCs w:val="28"/>
        </w:rPr>
        <w:t xml:space="preserve">                                                              </w:t>
      </w:r>
      <w:r>
        <w:rPr>
          <w:b/>
          <w:sz w:val="28"/>
          <w:szCs w:val="28"/>
        </w:rPr>
        <w:t>О.С. Мусій</w:t>
      </w:r>
    </w:p>
    <w:p w:rsidR="009B6A26" w:rsidRDefault="009B6A26" w:rsidP="000D7D50">
      <w:pPr>
        <w:ind w:firstLine="567"/>
        <w:jc w:val="center"/>
        <w:rPr>
          <w:b/>
          <w:sz w:val="28"/>
          <w:szCs w:val="28"/>
        </w:rPr>
      </w:pPr>
      <w:r>
        <w:rPr>
          <w:sz w:val="28"/>
          <w:szCs w:val="28"/>
        </w:rPr>
        <w:t xml:space="preserve">                                                                  </w:t>
      </w:r>
      <w:r>
        <w:rPr>
          <w:b/>
          <w:sz w:val="28"/>
          <w:szCs w:val="28"/>
        </w:rPr>
        <w:t>А.Ф. Шипко</w:t>
      </w:r>
    </w:p>
    <w:p w:rsidR="009B6A26" w:rsidRDefault="009B6A26" w:rsidP="000D7D50">
      <w:pPr>
        <w:ind w:firstLine="567"/>
        <w:jc w:val="center"/>
        <w:rPr>
          <w:b/>
          <w:sz w:val="28"/>
          <w:szCs w:val="28"/>
        </w:rPr>
      </w:pPr>
      <w:r>
        <w:rPr>
          <w:sz w:val="28"/>
          <w:szCs w:val="28"/>
        </w:rPr>
        <w:t xml:space="preserve">                                                                         </w:t>
      </w:r>
      <w:r>
        <w:rPr>
          <w:b/>
          <w:sz w:val="28"/>
          <w:szCs w:val="28"/>
        </w:rPr>
        <w:t>О.М. Кириченко</w:t>
      </w:r>
    </w:p>
    <w:p w:rsidR="009B6A26" w:rsidRDefault="009B6A26" w:rsidP="000D7D50">
      <w:pPr>
        <w:ind w:firstLine="567"/>
        <w:jc w:val="center"/>
        <w:rPr>
          <w:b/>
          <w:sz w:val="28"/>
          <w:szCs w:val="28"/>
        </w:rPr>
      </w:pPr>
      <w:r>
        <w:rPr>
          <w:sz w:val="28"/>
          <w:szCs w:val="28"/>
        </w:rPr>
        <w:t xml:space="preserve">                                                                 </w:t>
      </w:r>
      <w:r>
        <w:rPr>
          <w:b/>
          <w:sz w:val="28"/>
          <w:szCs w:val="28"/>
        </w:rPr>
        <w:t xml:space="preserve"> І.М. Шурма</w:t>
      </w:r>
    </w:p>
    <w:p w:rsidR="009B6A26" w:rsidRDefault="009B6A26" w:rsidP="000D7D50">
      <w:pPr>
        <w:ind w:firstLine="567"/>
        <w:jc w:val="center"/>
        <w:rPr>
          <w:b/>
          <w:sz w:val="28"/>
          <w:szCs w:val="28"/>
        </w:rPr>
      </w:pPr>
      <w:r>
        <w:rPr>
          <w:b/>
          <w:sz w:val="28"/>
          <w:szCs w:val="28"/>
        </w:rPr>
        <w:t xml:space="preserve">                                                                   К.В. Яриніч</w:t>
      </w:r>
    </w:p>
    <w:p w:rsidR="009B6A26" w:rsidRDefault="009B6A26" w:rsidP="00CB2C6D">
      <w:pPr>
        <w:ind w:firstLine="567"/>
        <w:jc w:val="center"/>
        <w:rPr>
          <w:b/>
          <w:sz w:val="28"/>
          <w:szCs w:val="28"/>
        </w:rPr>
      </w:pPr>
    </w:p>
    <w:p w:rsidR="009B6A26" w:rsidRPr="00CB2C6D" w:rsidRDefault="009B6A26" w:rsidP="00CB2C6D">
      <w:pPr>
        <w:rPr>
          <w:lang w:eastAsia="ru-RU"/>
        </w:rPr>
      </w:pPr>
    </w:p>
    <w:sectPr w:rsidR="009B6A26" w:rsidRPr="00CB2C6D" w:rsidSect="00EC02B3">
      <w:pgSz w:w="11906" w:h="16838" w:code="9"/>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32F7"/>
    <w:multiLevelType w:val="hybridMultilevel"/>
    <w:tmpl w:val="7640D9CC"/>
    <w:lvl w:ilvl="0" w:tplc="82D23A4A">
      <w:start w:val="2"/>
      <w:numFmt w:val="bullet"/>
      <w:lvlText w:val="-"/>
      <w:lvlJc w:val="left"/>
      <w:pPr>
        <w:ind w:left="720" w:hanging="360"/>
      </w:pPr>
      <w:rPr>
        <w:rFonts w:ascii="Times New Roman" w:eastAsia="Times New Roman" w:hAnsi="Times New Roman" w:hint="default"/>
        <w:i w:val="0"/>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618732EB"/>
    <w:multiLevelType w:val="hybridMultilevel"/>
    <w:tmpl w:val="57385682"/>
    <w:lvl w:ilvl="0" w:tplc="82D23A4A">
      <w:start w:val="2"/>
      <w:numFmt w:val="bullet"/>
      <w:lvlText w:val="-"/>
      <w:lvlJc w:val="left"/>
      <w:pPr>
        <w:ind w:left="720" w:hanging="360"/>
      </w:pPr>
      <w:rPr>
        <w:rFonts w:ascii="Times New Roman" w:eastAsia="Times New Roman" w:hAnsi="Times New Roman" w:hint="default"/>
        <w:i w:val="0"/>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5874"/>
    <w:rsid w:val="00027857"/>
    <w:rsid w:val="00045C68"/>
    <w:rsid w:val="00075AD9"/>
    <w:rsid w:val="00085B47"/>
    <w:rsid w:val="000D7D50"/>
    <w:rsid w:val="00105AF1"/>
    <w:rsid w:val="00106BFF"/>
    <w:rsid w:val="0015076E"/>
    <w:rsid w:val="0018661F"/>
    <w:rsid w:val="00186A10"/>
    <w:rsid w:val="001A54DB"/>
    <w:rsid w:val="001A5669"/>
    <w:rsid w:val="001D50B9"/>
    <w:rsid w:val="00231A10"/>
    <w:rsid w:val="00231EF6"/>
    <w:rsid w:val="00274B00"/>
    <w:rsid w:val="002A45A8"/>
    <w:rsid w:val="002E02ED"/>
    <w:rsid w:val="002E0753"/>
    <w:rsid w:val="002F0B13"/>
    <w:rsid w:val="00315874"/>
    <w:rsid w:val="00323DD3"/>
    <w:rsid w:val="00347F66"/>
    <w:rsid w:val="003A0A1D"/>
    <w:rsid w:val="003A76C2"/>
    <w:rsid w:val="003E3A81"/>
    <w:rsid w:val="00401B01"/>
    <w:rsid w:val="00437B2B"/>
    <w:rsid w:val="00460ECE"/>
    <w:rsid w:val="004D0E45"/>
    <w:rsid w:val="004F3E31"/>
    <w:rsid w:val="005055BC"/>
    <w:rsid w:val="00551AD5"/>
    <w:rsid w:val="00563B4A"/>
    <w:rsid w:val="00585D14"/>
    <w:rsid w:val="00593AA2"/>
    <w:rsid w:val="005E4A0B"/>
    <w:rsid w:val="005F0C85"/>
    <w:rsid w:val="0060383D"/>
    <w:rsid w:val="006315EC"/>
    <w:rsid w:val="00697FCB"/>
    <w:rsid w:val="006B0661"/>
    <w:rsid w:val="006E1F51"/>
    <w:rsid w:val="00774685"/>
    <w:rsid w:val="00787E46"/>
    <w:rsid w:val="00823C54"/>
    <w:rsid w:val="00837E49"/>
    <w:rsid w:val="008440CE"/>
    <w:rsid w:val="00857C88"/>
    <w:rsid w:val="008C4F6C"/>
    <w:rsid w:val="008D263A"/>
    <w:rsid w:val="00910827"/>
    <w:rsid w:val="009367FD"/>
    <w:rsid w:val="009578D6"/>
    <w:rsid w:val="00965451"/>
    <w:rsid w:val="00992D20"/>
    <w:rsid w:val="00997AD7"/>
    <w:rsid w:val="009B6A26"/>
    <w:rsid w:val="009C49A7"/>
    <w:rsid w:val="009E2B5E"/>
    <w:rsid w:val="009E4CD2"/>
    <w:rsid w:val="009E5268"/>
    <w:rsid w:val="00A2574A"/>
    <w:rsid w:val="00AC7413"/>
    <w:rsid w:val="00B00A6C"/>
    <w:rsid w:val="00B26A92"/>
    <w:rsid w:val="00B36841"/>
    <w:rsid w:val="00B51418"/>
    <w:rsid w:val="00C22E8C"/>
    <w:rsid w:val="00C25439"/>
    <w:rsid w:val="00CB2C6D"/>
    <w:rsid w:val="00CB49C4"/>
    <w:rsid w:val="00D631C8"/>
    <w:rsid w:val="00DC6317"/>
    <w:rsid w:val="00DE4195"/>
    <w:rsid w:val="00DE51DB"/>
    <w:rsid w:val="00DF0FED"/>
    <w:rsid w:val="00E10018"/>
    <w:rsid w:val="00E20306"/>
    <w:rsid w:val="00E270D4"/>
    <w:rsid w:val="00E27527"/>
    <w:rsid w:val="00E32056"/>
    <w:rsid w:val="00E46EAA"/>
    <w:rsid w:val="00E6333D"/>
    <w:rsid w:val="00E76B01"/>
    <w:rsid w:val="00E85C9F"/>
    <w:rsid w:val="00E90E9E"/>
    <w:rsid w:val="00EB450B"/>
    <w:rsid w:val="00EC02B3"/>
    <w:rsid w:val="00EC6FC5"/>
    <w:rsid w:val="00F204D9"/>
    <w:rsid w:val="00F20ABF"/>
    <w:rsid w:val="00F6381F"/>
    <w:rsid w:val="00F876FA"/>
    <w:rsid w:val="00FB6F4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E46"/>
    <w:rPr>
      <w:sz w:val="24"/>
      <w:lang w:eastAsia="en-US"/>
    </w:rPr>
  </w:style>
  <w:style w:type="paragraph" w:styleId="Heading3">
    <w:name w:val="heading 3"/>
    <w:basedOn w:val="Normal"/>
    <w:next w:val="Normal"/>
    <w:link w:val="Heading3Char"/>
    <w:uiPriority w:val="99"/>
    <w:qFormat/>
    <w:rsid w:val="004F3E31"/>
    <w:pPr>
      <w:keepNext/>
      <w:autoSpaceDE w:val="0"/>
      <w:autoSpaceDN w:val="0"/>
      <w:jc w:val="right"/>
      <w:outlineLvl w:val="2"/>
    </w:pPr>
    <w:rPr>
      <w:rFonts w:eastAsia="Times New Roman"/>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4F3E31"/>
    <w:rPr>
      <w:rFonts w:eastAsia="Times New Roman" w:cs="Times New Roman"/>
      <w:sz w:val="28"/>
      <w:szCs w:val="28"/>
      <w:lang w:eastAsia="ru-RU"/>
    </w:rPr>
  </w:style>
  <w:style w:type="paragraph" w:styleId="ListParagraph">
    <w:name w:val="List Paragraph"/>
    <w:basedOn w:val="Normal"/>
    <w:uiPriority w:val="99"/>
    <w:qFormat/>
    <w:rsid w:val="00085B47"/>
    <w:pPr>
      <w:ind w:left="720"/>
      <w:contextualSpacing/>
    </w:pPr>
  </w:style>
  <w:style w:type="character" w:styleId="Hyperlink">
    <w:name w:val="Hyperlink"/>
    <w:basedOn w:val="DefaultParagraphFont"/>
    <w:uiPriority w:val="99"/>
    <w:rsid w:val="00E90E9E"/>
    <w:rPr>
      <w:rFonts w:cs="Times New Roman"/>
      <w:color w:val="0563C1"/>
      <w:u w:val="single"/>
    </w:rPr>
  </w:style>
  <w:style w:type="paragraph" w:styleId="PlainText">
    <w:name w:val="Plain Text"/>
    <w:basedOn w:val="Normal"/>
    <w:link w:val="PlainTextChar"/>
    <w:uiPriority w:val="99"/>
    <w:rsid w:val="00910827"/>
    <w:rPr>
      <w:rFonts w:ascii="Consolas" w:eastAsia="Times New Roman" w:hAnsi="Consolas"/>
      <w:sz w:val="21"/>
      <w:szCs w:val="21"/>
      <w:lang w:val="ru-RU"/>
    </w:rPr>
  </w:style>
  <w:style w:type="character" w:customStyle="1" w:styleId="PlainTextChar">
    <w:name w:val="Plain Text Char"/>
    <w:basedOn w:val="DefaultParagraphFont"/>
    <w:link w:val="PlainText"/>
    <w:uiPriority w:val="99"/>
    <w:locked/>
    <w:rsid w:val="00910827"/>
    <w:rPr>
      <w:rFonts w:ascii="Consolas" w:hAnsi="Consolas" w:cs="Times New Roman"/>
      <w:sz w:val="21"/>
      <w:szCs w:val="21"/>
      <w:lang w:val="ru-RU"/>
    </w:rPr>
  </w:style>
</w:styles>
</file>

<file path=word/webSettings.xml><?xml version="1.0" encoding="utf-8"?>
<w:webSettings xmlns:r="http://schemas.openxmlformats.org/officeDocument/2006/relationships" xmlns:w="http://schemas.openxmlformats.org/wordprocessingml/2006/main">
  <w:divs>
    <w:div w:id="145632737">
      <w:marLeft w:val="0"/>
      <w:marRight w:val="0"/>
      <w:marTop w:val="0"/>
      <w:marBottom w:val="0"/>
      <w:divBdr>
        <w:top w:val="none" w:sz="0" w:space="0" w:color="auto"/>
        <w:left w:val="none" w:sz="0" w:space="0" w:color="auto"/>
        <w:bottom w:val="none" w:sz="0" w:space="0" w:color="auto"/>
        <w:right w:val="none" w:sz="0" w:space="0" w:color="auto"/>
      </w:divBdr>
    </w:div>
    <w:div w:id="1456327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pteka.ua/article/32148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7</Pages>
  <Words>10650</Words>
  <Characters>6072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Греков</dc:creator>
  <cp:keywords/>
  <dc:description/>
  <cp:lastModifiedBy>sysoienko</cp:lastModifiedBy>
  <cp:revision>16</cp:revision>
  <dcterms:created xsi:type="dcterms:W3CDTF">2016-04-12T10:31:00Z</dcterms:created>
  <dcterms:modified xsi:type="dcterms:W3CDTF">2016-04-18T12:23:00Z</dcterms:modified>
</cp:coreProperties>
</file>