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1AA" w:rsidRDefault="006101AA" w:rsidP="00636F73">
      <w:pPr>
        <w:jc w:val="center"/>
      </w:pPr>
      <w:bookmarkStart w:id="0" w:name="_GoBack"/>
      <w:bookmarkEnd w:id="0"/>
    </w:p>
    <w:p w:rsidR="006101AA" w:rsidRDefault="006101AA" w:rsidP="00636F73">
      <w:pPr>
        <w:jc w:val="center"/>
      </w:pPr>
    </w:p>
    <w:p w:rsidR="006101AA" w:rsidRDefault="006101AA" w:rsidP="00636F73">
      <w:pPr>
        <w:jc w:val="center"/>
      </w:pPr>
    </w:p>
    <w:p w:rsidR="006101AA" w:rsidRDefault="006101AA" w:rsidP="00636F73">
      <w:pPr>
        <w:jc w:val="center"/>
      </w:pPr>
    </w:p>
    <w:p w:rsidR="006101AA" w:rsidRDefault="006101AA" w:rsidP="00636F73">
      <w:pPr>
        <w:jc w:val="center"/>
      </w:pPr>
    </w:p>
    <w:p w:rsidR="006101AA" w:rsidRDefault="006101AA" w:rsidP="00636F73">
      <w:pPr>
        <w:jc w:val="center"/>
      </w:pPr>
    </w:p>
    <w:p w:rsidR="006101AA" w:rsidRDefault="006101AA" w:rsidP="00636F73">
      <w:pPr>
        <w:jc w:val="center"/>
      </w:pPr>
      <w:r>
        <w:t>З А У В А Ж Е Н Н Я</w:t>
      </w:r>
    </w:p>
    <w:p w:rsidR="006101AA" w:rsidRDefault="006101AA" w:rsidP="00636F73">
      <w:pPr>
        <w:spacing w:after="0" w:line="240" w:lineRule="auto"/>
        <w:jc w:val="center"/>
      </w:pPr>
      <w:r>
        <w:t xml:space="preserve">до проекту закону України про внесення змін до деяких </w:t>
      </w:r>
    </w:p>
    <w:p w:rsidR="006101AA" w:rsidRDefault="006101AA" w:rsidP="00636F73">
      <w:pPr>
        <w:spacing w:after="0" w:line="240" w:lineRule="auto"/>
        <w:jc w:val="center"/>
      </w:pPr>
      <w:r>
        <w:t xml:space="preserve">законодавчих актів України щодо підвищення рівня </w:t>
      </w:r>
    </w:p>
    <w:p w:rsidR="006101AA" w:rsidRDefault="006101AA" w:rsidP="00636F73">
      <w:pPr>
        <w:spacing w:after="0" w:line="240" w:lineRule="auto"/>
        <w:jc w:val="center"/>
      </w:pPr>
      <w:r>
        <w:t>корпоративного управління в акціонерних товариствах</w:t>
      </w:r>
    </w:p>
    <w:p w:rsidR="006101AA" w:rsidRDefault="006101AA" w:rsidP="00636F73">
      <w:pPr>
        <w:spacing w:after="0" w:line="240" w:lineRule="auto"/>
        <w:jc w:val="center"/>
      </w:pPr>
      <w:r>
        <w:t>(реєстраційний № 2302а-д)</w:t>
      </w:r>
    </w:p>
    <w:p w:rsidR="006101AA" w:rsidRDefault="006101AA" w:rsidP="00636F73">
      <w:pPr>
        <w:spacing w:after="0" w:line="240" w:lineRule="auto"/>
        <w:jc w:val="center"/>
      </w:pPr>
    </w:p>
    <w:p w:rsidR="006101AA" w:rsidRDefault="006101AA" w:rsidP="00636F73">
      <w:pPr>
        <w:spacing w:after="0" w:line="240" w:lineRule="auto"/>
        <w:jc w:val="center"/>
      </w:pPr>
    </w:p>
    <w:p w:rsidR="006101AA" w:rsidRDefault="006101AA" w:rsidP="00636F73">
      <w:pPr>
        <w:spacing w:after="0" w:line="240" w:lineRule="auto"/>
        <w:ind w:firstLine="709"/>
        <w:jc w:val="both"/>
      </w:pPr>
      <w:r>
        <w:t>У Головному юридичному управлінні вивчено проект закону України про внесення змін до деяких законодавчих актів України щодо підвищення рівня корпоративного  управління в акціонерних товариствах (далі – проект), підготовлений Комітетом з питань економічної політики до розгляду у другому читанні, і повідомляється наступне.</w:t>
      </w:r>
    </w:p>
    <w:p w:rsidR="006101AA" w:rsidRDefault="006101AA" w:rsidP="00636F73">
      <w:pPr>
        <w:spacing w:after="0" w:line="240" w:lineRule="auto"/>
        <w:ind w:firstLine="709"/>
        <w:jc w:val="both"/>
      </w:pPr>
    </w:p>
    <w:p w:rsidR="006101AA" w:rsidRDefault="006101AA" w:rsidP="0029743F">
      <w:pPr>
        <w:spacing w:after="0" w:line="240" w:lineRule="auto"/>
        <w:ind w:firstLine="709"/>
        <w:jc w:val="both"/>
      </w:pPr>
      <w:r>
        <w:t xml:space="preserve">1. Як зазначено у пояснювальній записці до проекту, він спрямований на </w:t>
      </w:r>
      <w:r w:rsidRPr="006660A1">
        <w:t>імплементацію Директиви 2004/25/ЄС Європейського Парламенту та Ради щодо пропозицій про поглинання в рамках виконання Угоди про асоціацію між Україною та Європейським Союзом.</w:t>
      </w:r>
      <w:r>
        <w:t xml:space="preserve"> В рамках такої імплементації пропонується доповнити Закон України «Про акціонерні товариства» (далі – Закон) нормами, які передбачають </w:t>
      </w:r>
      <w:r w:rsidRPr="00EB35A6">
        <w:t>надання права акціонеру – власнику 95 відсотків акцій товариства</w:t>
      </w:r>
      <w:r>
        <w:t xml:space="preserve"> (далі – домінуючий акціонер)</w:t>
      </w:r>
      <w:r w:rsidRPr="00EB35A6">
        <w:t xml:space="preserve"> вимагати від міноритарних акціонерів обов'язкового продажу належних їм акцій (</w:t>
      </w:r>
      <w:r>
        <w:t>стаття 65</w:t>
      </w:r>
      <w:r>
        <w:rPr>
          <w:vertAlign w:val="superscript"/>
        </w:rPr>
        <w:t>2</w:t>
      </w:r>
      <w:r>
        <w:t xml:space="preserve"> Закону</w:t>
      </w:r>
      <w:r w:rsidRPr="00EB35A6">
        <w:t>)</w:t>
      </w:r>
      <w:r>
        <w:t xml:space="preserve"> та нормами, які передбачають кореспондуюче право </w:t>
      </w:r>
      <w:r w:rsidRPr="00EB35A6">
        <w:t>міноритарни</w:t>
      </w:r>
      <w:r>
        <w:t>х</w:t>
      </w:r>
      <w:r w:rsidRPr="00EB35A6">
        <w:t xml:space="preserve"> акціонер</w:t>
      </w:r>
      <w:r>
        <w:t>ів</w:t>
      </w:r>
      <w:r w:rsidRPr="00EB35A6">
        <w:t xml:space="preserve"> вимагати від </w:t>
      </w:r>
      <w:r>
        <w:t>власника домінуючого контрольного пакету акцій (95 і більше відсотків)</w:t>
      </w:r>
      <w:r w:rsidRPr="00EB35A6">
        <w:t xml:space="preserve"> викупу в них акцій за справедливою ціною</w:t>
      </w:r>
      <w:r>
        <w:t xml:space="preserve"> (стаття 65</w:t>
      </w:r>
      <w:r>
        <w:rPr>
          <w:vertAlign w:val="superscript"/>
        </w:rPr>
        <w:t xml:space="preserve">3 </w:t>
      </w:r>
      <w:r>
        <w:t>Закону).</w:t>
      </w:r>
    </w:p>
    <w:p w:rsidR="006101AA" w:rsidRDefault="006101AA" w:rsidP="0029743F">
      <w:pPr>
        <w:spacing w:after="0" w:line="240" w:lineRule="auto"/>
        <w:ind w:firstLine="709"/>
        <w:jc w:val="both"/>
      </w:pPr>
      <w:r>
        <w:t xml:space="preserve">З метою забезпечення реалізації права непорушності приватної власності, гарантованого статтею 41 Конституції України, законодавець має передбачити не тільки надання належної компенсації (справедлива ціна), але і забезпечити механізм гарантованого отримання міноритаріями коштів за  викуплені  у них акції.  </w:t>
      </w:r>
    </w:p>
    <w:p w:rsidR="006101AA" w:rsidRDefault="006101AA" w:rsidP="0029743F">
      <w:pPr>
        <w:spacing w:after="0" w:line="240" w:lineRule="auto"/>
        <w:ind w:firstLine="709"/>
        <w:jc w:val="both"/>
      </w:pPr>
      <w:r>
        <w:t>Однак, окремі норми проекту не відповідають цим вимогам, а, відтак,  призводять до порушення вимог статей 13 та  41 Конституції України, та не відповідають вимогам щодо юридичної визначеності та завершеності механізмів правового регулювання, як складового елементу принципу верховенства права, який визнається і діє в Україні (стаття 8 Конституції України) .</w:t>
      </w:r>
    </w:p>
    <w:p w:rsidR="006101AA" w:rsidRDefault="006101AA" w:rsidP="0029743F">
      <w:pPr>
        <w:spacing w:after="0" w:line="240" w:lineRule="auto"/>
        <w:ind w:firstLine="709"/>
        <w:jc w:val="both"/>
      </w:pPr>
    </w:p>
    <w:p w:rsidR="006101AA" w:rsidRDefault="006101AA" w:rsidP="0029743F">
      <w:pPr>
        <w:spacing w:after="0" w:line="240" w:lineRule="auto"/>
        <w:ind w:firstLine="709"/>
        <w:jc w:val="both"/>
      </w:pPr>
      <w:r>
        <w:t>Так, зокрема, у статті 65</w:t>
      </w:r>
      <w:r>
        <w:rPr>
          <w:vertAlign w:val="superscript"/>
        </w:rPr>
        <w:t>2</w:t>
      </w:r>
      <w:r>
        <w:t xml:space="preserve">  Закону ( в редакції проекту) встановлено, що з</w:t>
      </w:r>
      <w:r w:rsidRPr="008247A9">
        <w:t>аявник</w:t>
      </w:r>
      <w:r>
        <w:t xml:space="preserve"> публічної безвідкличної вимоги ( домінуючий акціонер)</w:t>
      </w:r>
      <w:r w:rsidRPr="008247A9">
        <w:t xml:space="preserve"> сплачує ціну акцій</w:t>
      </w:r>
      <w:r>
        <w:t xml:space="preserve"> міноритарним </w:t>
      </w:r>
      <w:r w:rsidRPr="008247A9">
        <w:t>акціонерам шляхом перерахування грошових сум банківській установі, в якій заявником вимоги відкрито рахунок умовного зберігання (ескроу), бенефіціарами якого є  акціонери, у яких придбаються акції (їхні спадкоємці або правонаступники, або інші особи, які відповідно до законодавства мають право на отримання коштів)</w:t>
      </w:r>
      <w:r>
        <w:t xml:space="preserve"> (частина дев</w:t>
      </w:r>
      <w:r w:rsidRPr="002F23E3">
        <w:t>”</w:t>
      </w:r>
      <w:r>
        <w:t>ята)</w:t>
      </w:r>
      <w:r w:rsidRPr="008247A9">
        <w:t>.</w:t>
      </w:r>
      <w:r>
        <w:t xml:space="preserve"> Таке перерахування вважається належним виконанням зобов’язання щодо оплати акцій, що придбаваються, та є підставою для переведення дипозитарними установами прав на акції з рахунків міноритаріїв на рахунок домінуючого акціонера (частина чотирнадцята). </w:t>
      </w:r>
      <w:r>
        <w:rPr>
          <w:vertAlign w:val="superscript"/>
        </w:rPr>
        <w:t xml:space="preserve"> </w:t>
      </w:r>
      <w:r>
        <w:t xml:space="preserve"> Проте, у проекті  не передбачено, у який строк після відкриття рахунку ескороу заявник вимоги перераховує кошти, не передбачено механізм інформування акціонерів,  у яких примусово викупаються акції, про надходження на їхню користь коштів,  а, відтак, про дату, з якої вони перестали бути власниками викуплених у них акцій. Відсутність такої інформації може мати наслідком невикористання міноритарним акціонером свого права на отримання коштів. Тим більше, що строк розрахунків  з акціонерами, акції яких були викуплені, обмежується трьома роками (абзац другий частини тринадцятої). Крім цього, у законопроекті не визначено, що відбувається з коштами на ескроу-рахунках, які не були перераховані (виплачені) міноритарним акціонерам, акції яких були придбані,  протягом трьох років, з урахуванням вимог статті 1076</w:t>
      </w:r>
      <w:r>
        <w:rPr>
          <w:vertAlign w:val="superscript"/>
        </w:rPr>
        <w:t xml:space="preserve">8 </w:t>
      </w:r>
      <w:r>
        <w:t xml:space="preserve">Цивільного кодексу України  (в редакції проекту). </w:t>
      </w:r>
    </w:p>
    <w:p w:rsidR="006101AA" w:rsidRDefault="006101AA" w:rsidP="0029743F">
      <w:pPr>
        <w:spacing w:after="0" w:line="240" w:lineRule="auto"/>
        <w:ind w:firstLine="709"/>
        <w:jc w:val="both"/>
      </w:pPr>
      <w:r>
        <w:t xml:space="preserve">Таким чином, необхідність дотримання  положень статей 1, 8, 13, 41 Конституції України вимагає усунення зазначених проблем у проекті. </w:t>
      </w:r>
    </w:p>
    <w:p w:rsidR="006101AA" w:rsidRDefault="006101AA" w:rsidP="0029743F">
      <w:pPr>
        <w:spacing w:after="0" w:line="240" w:lineRule="auto"/>
        <w:ind w:firstLine="709"/>
        <w:jc w:val="both"/>
      </w:pPr>
    </w:p>
    <w:p w:rsidR="006101AA" w:rsidRDefault="006101AA" w:rsidP="0029743F">
      <w:pPr>
        <w:spacing w:after="0" w:line="240" w:lineRule="auto"/>
        <w:ind w:firstLine="709"/>
        <w:jc w:val="both"/>
      </w:pPr>
      <w:r>
        <w:t>2. У статті 65</w:t>
      </w:r>
      <w:r>
        <w:rPr>
          <w:vertAlign w:val="superscript"/>
        </w:rPr>
        <w:t>5</w:t>
      </w:r>
      <w:r>
        <w:t>, якою доповнюється Закон України «Про акціонерні товариства», передбачено, що  статутом приватного акціонерного товариства може  бути передбачено, що вимоги статей 65,  65</w:t>
      </w:r>
      <w:r>
        <w:rPr>
          <w:vertAlign w:val="superscript"/>
        </w:rPr>
        <w:t xml:space="preserve">2 </w:t>
      </w:r>
      <w:r>
        <w:t>та 65</w:t>
      </w:r>
      <w:r>
        <w:rPr>
          <w:vertAlign w:val="superscript"/>
        </w:rPr>
        <w:t>3</w:t>
      </w:r>
      <w:r>
        <w:t xml:space="preserve"> «не поширюються на таке товариство або поширюються з винятками або особливостями, що мають бути визначені статутом товариства». Таким чином, нормам статей </w:t>
      </w:r>
      <w:r w:rsidRPr="00273DF6">
        <w:t>65,  65</w:t>
      </w:r>
      <w:r>
        <w:rPr>
          <w:vertAlign w:val="superscript"/>
        </w:rPr>
        <w:t>2</w:t>
      </w:r>
      <w:r w:rsidRPr="00273DF6">
        <w:t xml:space="preserve"> та 65</w:t>
      </w:r>
      <w:r>
        <w:rPr>
          <w:vertAlign w:val="superscript"/>
        </w:rPr>
        <w:t xml:space="preserve">3 </w:t>
      </w:r>
      <w:r>
        <w:t>стосовно приватних акціонерних товариств надається диспозитивний характер, за яким суб’єктам  правовідносин  надається право самостійно вирішувати питання про обсяг і характер свої прав та обов</w:t>
      </w:r>
      <w:r w:rsidRPr="00B33FB9">
        <w:t>’</w:t>
      </w:r>
      <w:r>
        <w:t>язків та порядку їх реалізації, зокрема, щодо обов’язкової пропозиції, визначення ціни акцій, порядку розрахунків тощо. На нашу думку, надання акціонерному товариству права вирішувати питання про умови та порядок застосування норм закону, зокрема, щодо гарантій прав міноритаріїв,  може  спричинити порушення  конституційних норм щодо  захисту прав усіх суб’єктів права  власності ( стаття 13) та  непорушності права приватної власності (стаття 41).</w:t>
      </w:r>
    </w:p>
    <w:p w:rsidR="006101AA" w:rsidRDefault="006101AA" w:rsidP="0029743F">
      <w:pPr>
        <w:spacing w:after="0" w:line="240" w:lineRule="auto"/>
        <w:ind w:firstLine="709"/>
        <w:jc w:val="both"/>
      </w:pPr>
    </w:p>
    <w:p w:rsidR="006101AA" w:rsidRDefault="006101AA" w:rsidP="0029743F">
      <w:pPr>
        <w:spacing w:after="0" w:line="240" w:lineRule="auto"/>
        <w:ind w:firstLine="709"/>
        <w:jc w:val="both"/>
      </w:pPr>
      <w:r>
        <w:t xml:space="preserve">3. Пунктом 2 Розділу ІІ «Прикінцеві та перехідні положення» проекту передбачено, що протягом двох років з дня набрання чинності цим Законом  </w:t>
      </w:r>
      <w:r w:rsidRPr="00FC1CEA">
        <w:t>особа (особами, які діють спільно), яка станом на дату набрання чинності цим Законом є прямо або опосередковано з урахуванням кількості акцій, що належать їй або її афілійованим особам, вже є  власником домінуючого контрольного пакета акцій акціонерного товариства (далі – заявник вимоги)  має право застосувати положення статті 65</w:t>
      </w:r>
      <w:r>
        <w:rPr>
          <w:vertAlign w:val="superscript"/>
        </w:rPr>
        <w:t>2</w:t>
      </w:r>
      <w:r w:rsidRPr="00FC1CEA">
        <w:t xml:space="preserve"> Закону України «</w:t>
      </w:r>
      <w:r>
        <w:t>П</w:t>
      </w:r>
      <w:r w:rsidRPr="00FC1CEA">
        <w:t xml:space="preserve">ро акціонерні товариства»  в порядку та на умовах, визначених у цьому пункті. </w:t>
      </w:r>
      <w:r>
        <w:t xml:space="preserve"> Таким чином, надається право  акціонерам, які набули у власність домінуючий контрольний пакет акцій, зокрема, у процесі приватизації, до набрання чинності цим Законом застосувати право вимоги до міноритарних акціонерів про обов’язковий продаж належних їм акцій (скористатись положеннями статті 65</w:t>
      </w:r>
      <w:r>
        <w:rPr>
          <w:vertAlign w:val="superscript"/>
        </w:rPr>
        <w:t>2</w:t>
      </w:r>
      <w:r>
        <w:rPr>
          <w:vertAlign w:val="superscript"/>
          <w:lang w:val="ru-RU"/>
        </w:rPr>
        <w:t xml:space="preserve"> </w:t>
      </w:r>
      <w:r>
        <w:rPr>
          <w:lang w:val="ru-RU"/>
        </w:rPr>
        <w:t>Закону</w:t>
      </w:r>
      <w:r>
        <w:t>).   Відповідно, у цьому разі інші акціонери можуть скористатись правами, передбаченими статтею 65</w:t>
      </w:r>
      <w:r>
        <w:rPr>
          <w:vertAlign w:val="superscript"/>
        </w:rPr>
        <w:t xml:space="preserve">3 </w:t>
      </w:r>
      <w:r>
        <w:t>Закону.</w:t>
      </w:r>
    </w:p>
    <w:p w:rsidR="006101AA" w:rsidRDefault="006101AA" w:rsidP="0029743F">
      <w:pPr>
        <w:spacing w:after="0" w:line="240" w:lineRule="auto"/>
        <w:ind w:firstLine="709"/>
        <w:jc w:val="both"/>
      </w:pPr>
      <w:r>
        <w:t>Такий підхід фактично поширює дію норм закону на правовідносини, що виникли до набрання ним чинності, що суперечить статті 58 Конституції України, якою встановлено, що закони та інші нормативно-правові акти не мають зворотної дії у часі, крім випадків, коли пом’якшують або скасовують відповідальність особи.</w:t>
      </w:r>
    </w:p>
    <w:p w:rsidR="006101AA" w:rsidRDefault="006101AA" w:rsidP="0029743F">
      <w:pPr>
        <w:spacing w:after="0" w:line="240" w:lineRule="auto"/>
        <w:ind w:firstLine="709"/>
        <w:jc w:val="both"/>
      </w:pPr>
    </w:p>
    <w:p w:rsidR="006101AA" w:rsidRDefault="006101AA" w:rsidP="009C71D4">
      <w:pPr>
        <w:spacing w:after="0" w:line="240" w:lineRule="auto"/>
        <w:ind w:firstLine="709"/>
        <w:jc w:val="both"/>
      </w:pPr>
      <w:r>
        <w:t xml:space="preserve">4. Низка  інших положень проекту не відповідає конституційним принципам верховенства права та визначенню України правовою державою (статті 1 та 8 Конституції України), а також не враховує правової позиції Конституційного Суду України, у рішеннях якого неодноразово наголошувалося, що визначальними елементами верховенства права є принципи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22.09.2005 року №5, від 29.06.2010 року №17-рп, від 11.10.2011 року №10-рп.). Це дає підстави для довільних тлумачень законодавчих норм, ускладнює їх однозначне розуміння та правильне застосування,  а також створює підґрунтя для порушення прав учасників правовідносин. </w:t>
      </w:r>
    </w:p>
    <w:p w:rsidR="006101AA" w:rsidRDefault="006101AA" w:rsidP="009C71D4">
      <w:pPr>
        <w:spacing w:after="0" w:line="240" w:lineRule="auto"/>
        <w:ind w:firstLine="709"/>
        <w:jc w:val="both"/>
      </w:pPr>
      <w:r>
        <w:t>Зміни до статті 34 Закону України «Про банки і банківську діяльність» містять внутрішню суперечність, оскільки одночасно передбачають набуття (збільшення) істотної участі у банку без погодження Національного банку України та вимагають такого погодження після фактичного набуття (збільшення) такої участі.</w:t>
      </w:r>
    </w:p>
    <w:p w:rsidR="006101AA" w:rsidRDefault="006101AA" w:rsidP="009C71D4">
      <w:pPr>
        <w:spacing w:after="0" w:line="240" w:lineRule="auto"/>
        <w:ind w:firstLine="709"/>
        <w:jc w:val="both"/>
      </w:pPr>
      <w:r>
        <w:t>Передбачене у змінах до статті 34 Закону України «Про банки і банківську діяльність» право Національного банку України тимчасово заборонити власнику істотної участі у банку використовувати право голосу, по-перше, не є предметом правового регулювання цієї статті, та, по друге, дублює повноваження Національного банку України щодо застосування до банків заходів впливу, передбачені у статті 73 цього закону.</w:t>
      </w:r>
    </w:p>
    <w:p w:rsidR="006101AA" w:rsidRDefault="006101AA" w:rsidP="009C71D4">
      <w:pPr>
        <w:spacing w:after="0" w:line="240" w:lineRule="auto"/>
        <w:ind w:firstLine="709"/>
        <w:jc w:val="both"/>
      </w:pPr>
      <w:r>
        <w:t>Встановлена у змінах до статті 34 Закону України «Про банки і банківську діяльність» вимога щодо звернення особи до Національного банку України за погодженням набуття (збільшення) істотної участі у банку після того, як де-факто таке набуття (збільшення) відбулося, позбавлена правового змісту, оскільки законодавство не передбачає правових механізмів, які б перешкоджали такому істотному учаснику реалізовувати свої корпоративні права навіть у разі відмови Національного банку у погодженні.</w:t>
      </w:r>
    </w:p>
    <w:p w:rsidR="006101AA" w:rsidRDefault="006101AA" w:rsidP="009C71D4">
      <w:pPr>
        <w:spacing w:after="0" w:line="240" w:lineRule="auto"/>
        <w:ind w:firstLine="709"/>
        <w:jc w:val="both"/>
      </w:pPr>
    </w:p>
    <w:p w:rsidR="006101AA" w:rsidRDefault="006101AA" w:rsidP="00312A01">
      <w:pPr>
        <w:ind w:firstLine="709"/>
        <w:jc w:val="both"/>
      </w:pPr>
      <w:r>
        <w:t>Зміни до пункту 1.38 статті 1, статей 21, пункту 22.2 статті 22, 26 Закону України «Про платіжні системи та переказ коштів в Україні», які передбачають віднесення списання коштів з рахунку за умовами обтяження до договірного списання, не відповідають статті 3 Закону України «Про забезпечення вимог кредиторів та реєстрацію обтяжень». Згідно з цією статтею обтяженням є право обтяжувача на рухоме  майно  боржника  або обмеження права боржника чи обтяжувача на рухоме майно, що виникає на підставі  закону,  договору,  рішення  суду  або  з  інших  дій фізичних і юридичних осіб,  з якими закон пов'язує виникнення прав і обов'язків щодо рухомого майна.</w:t>
      </w:r>
    </w:p>
    <w:p w:rsidR="006101AA" w:rsidRPr="00312A01" w:rsidRDefault="006101AA" w:rsidP="00312A01">
      <w:pPr>
        <w:ind w:firstLine="709"/>
        <w:jc w:val="both"/>
      </w:pPr>
      <w:r w:rsidRPr="00E3481E">
        <w:t xml:space="preserve"> </w:t>
      </w:r>
      <w:r w:rsidRPr="00312A01">
        <w:t>Оскільки право обтяжувача  на списання коштів  боржника  може виникати безпосередньо з закону,  віднесення такого списання до «договірного», яке, навпаки, є суто добровільним та відбувається з відома власника рахунку. Зазначене не відповідає справжній правовій природі такого списання та суперечить засадам цивільного законодавства, які грунтуються на юридичній рівності, вільному волевиявленні, майновій самостійності їх учасників.</w:t>
      </w:r>
    </w:p>
    <w:p w:rsidR="006101AA" w:rsidRDefault="006101AA" w:rsidP="009C71D4">
      <w:pPr>
        <w:spacing w:after="0" w:line="240" w:lineRule="auto"/>
        <w:ind w:firstLine="709"/>
        <w:jc w:val="both"/>
      </w:pPr>
      <w:r>
        <w:t xml:space="preserve">Зміни до пункту 22.9 статті 22 Закону України «Про платіжні системи та переказ коштів в Україні», які встановлюють, що «банки  виконують  розрахункові  документи відповідно до черговості їх надходження (крім випадків, встановлених законом)» суперечать статті 1072 Цивільного кодекс України, яка на законодавчому рівні безпосередньо визначає черговість списання грошових коштів з рахунка. </w:t>
      </w:r>
    </w:p>
    <w:p w:rsidR="006101AA" w:rsidRDefault="006101AA" w:rsidP="009C71D4">
      <w:pPr>
        <w:spacing w:after="0" w:line="240" w:lineRule="auto"/>
        <w:ind w:firstLine="709"/>
        <w:jc w:val="both"/>
      </w:pPr>
    </w:p>
    <w:p w:rsidR="006101AA" w:rsidRDefault="006101AA" w:rsidP="00E3481E">
      <w:pPr>
        <w:spacing w:after="0" w:line="240" w:lineRule="auto"/>
        <w:ind w:firstLine="709"/>
        <w:jc w:val="both"/>
      </w:pPr>
      <w:r>
        <w:t>5. Зміни до окремих статей Цивільного кодексу України передбачають вжиття банком низки заходів за участі або на користь обтяжувача у випадку, якщо предметом обтяження є майнові права на кошти, розміщені на клієнтському рахунку, причому взаємодія банка з обтяжувачем пов’язана з обмеженням прав власника рахунку щодо управління своїми коштами. Так, отримання банком письмового повідомлення обтяжувача є підставою для невиконання банком вимог клієнта щодо списання коштів з рахунку (ч.3 статті 1074); без згоди обтяжувача договір банківського рахунку не може бути розірваний (стаття 1075) або змінений (стаття 1075</w:t>
      </w:r>
      <w:r>
        <w:rPr>
          <w:vertAlign w:val="superscript"/>
        </w:rPr>
        <w:t>1</w:t>
      </w:r>
      <w:r>
        <w:t>); на вимогу обтяжувача банк зобов’язаний розкрити банківську таємницю (стаття 1076). За нанесення обтяжувачу збитків внаслідок невиконання цих вимог передбачена фінансова відповідальність банку. Натомість, у Цивільному кодексі України та інших законах відсутні норми, які б врегульовували взаємовідносини між обтяжувачем та банком, зокрема, зобов’язували обтяжувача пройти процедуру ідентифікації, встановлювали порядок та строки надання згоди, необхідних документів та ін.</w:t>
      </w:r>
    </w:p>
    <w:p w:rsidR="006101AA" w:rsidRDefault="006101AA" w:rsidP="00E3481E">
      <w:pPr>
        <w:spacing w:after="0" w:line="240" w:lineRule="auto"/>
        <w:ind w:firstLine="709"/>
        <w:jc w:val="both"/>
      </w:pPr>
      <w:r>
        <w:t xml:space="preserve"> </w:t>
      </w:r>
    </w:p>
    <w:p w:rsidR="006101AA" w:rsidRPr="00312A01" w:rsidRDefault="006101AA" w:rsidP="00312A01">
      <w:pPr>
        <w:spacing w:after="0" w:line="240" w:lineRule="auto"/>
        <w:ind w:firstLine="709"/>
        <w:jc w:val="both"/>
      </w:pPr>
      <w:r w:rsidRPr="00312A01">
        <w:t xml:space="preserve">Реалізація банком таких повноважень, неминуче призведе або до порушення прав клієнта банку гарантованих статтею 41 Конституції України. або прав обтяжувача, гарантованих законодавством в сфері захисту права власності та персональної інформації. </w:t>
      </w:r>
    </w:p>
    <w:p w:rsidR="006101AA" w:rsidRPr="00312A01" w:rsidRDefault="006101AA" w:rsidP="00312A01">
      <w:pPr>
        <w:spacing w:after="0" w:line="240" w:lineRule="auto"/>
        <w:ind w:firstLine="709"/>
        <w:jc w:val="both"/>
      </w:pPr>
    </w:p>
    <w:p w:rsidR="006101AA" w:rsidRDefault="006101AA" w:rsidP="009C71D4">
      <w:pPr>
        <w:spacing w:after="0" w:line="240" w:lineRule="auto"/>
        <w:ind w:firstLine="709"/>
        <w:jc w:val="both"/>
      </w:pPr>
      <w:r>
        <w:t>Що стосується пункту 26.6 статті 26 Закону України «Про платіжні системи та переказ коштів в Україні», який передбачає здійснення банком ідентифікації обтяжувача «у випадках, передбачених законодавством», слід зазначити, що відповідне законодавство (Закон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та Закон України «Про банки і банківську діяльність») не містить вимог щодо ідентифікації обтяжувача за обтяженням, предметом якого є майнові права на грошові кошти, що знаходяться на банківському рахунку. Законодавство передбачає ідентифікацію банком лише клієнта та його представника. Отже, відповідне посилання є неправомірним.</w:t>
      </w:r>
    </w:p>
    <w:p w:rsidR="006101AA" w:rsidRDefault="006101AA" w:rsidP="009C71D4">
      <w:pPr>
        <w:spacing w:after="0" w:line="240" w:lineRule="auto"/>
        <w:ind w:firstLine="709"/>
        <w:jc w:val="both"/>
      </w:pPr>
    </w:p>
    <w:p w:rsidR="006101AA" w:rsidRDefault="006101AA" w:rsidP="009C71D4">
      <w:pPr>
        <w:spacing w:after="0" w:line="240" w:lineRule="auto"/>
        <w:ind w:firstLine="709"/>
        <w:jc w:val="both"/>
      </w:pPr>
      <w:r>
        <w:t>6. Норми статті 34 Закону України «Про банки і банківську діяльність», що передбачають встановлення Національним банком України на свій розсуд випадків, коли допускається погодження набуття (збільшення) істотної участі у банку після того, як де-факто таке набуття (збільшення) відбулося, містять положення, що містять корупційні чинники та не відповідають вимогам статті 19 Конституції України, згідно з якими органи державної влади їх посадові особи зобов'язані діяти лише на підставі, в межах повноважень та у спосіб, що передбачені законами.</w:t>
      </w:r>
    </w:p>
    <w:p w:rsidR="006101AA" w:rsidRDefault="006101AA" w:rsidP="009C71D4">
      <w:pPr>
        <w:spacing w:after="0" w:line="240" w:lineRule="auto"/>
        <w:ind w:firstLine="709"/>
        <w:jc w:val="both"/>
      </w:pPr>
    </w:p>
    <w:p w:rsidR="006101AA" w:rsidRDefault="006101AA" w:rsidP="009C71D4">
      <w:pPr>
        <w:spacing w:after="0" w:line="240" w:lineRule="auto"/>
        <w:ind w:firstLine="709"/>
        <w:jc w:val="both"/>
      </w:pPr>
      <w:r>
        <w:t>7. Під час підготовки проекту до другого читання до його тексту всупереч вимогам статті 116 Регламенту Верховної Ради України було включено низку положень та змін до законів України, які не були предметом розгляду у першому читанні, зокрема, зміни до законів України «Про банки і банківську діяльність», «Про платіжні системи та переказ коштів в Україні», «Про відновлення платоспроможності боржника або визнання його банкрутом» тощо.</w:t>
      </w:r>
    </w:p>
    <w:p w:rsidR="006101AA" w:rsidRDefault="006101AA" w:rsidP="009C71D4">
      <w:pPr>
        <w:spacing w:after="0" w:line="240" w:lineRule="auto"/>
        <w:ind w:firstLine="709"/>
        <w:jc w:val="both"/>
      </w:pPr>
    </w:p>
    <w:p w:rsidR="006101AA" w:rsidRDefault="006101AA" w:rsidP="009C71D4">
      <w:pPr>
        <w:spacing w:after="0" w:line="240" w:lineRule="auto"/>
        <w:ind w:firstLine="709"/>
        <w:jc w:val="both"/>
      </w:pPr>
      <w:r>
        <w:t>Проект потребує редакційного доопрацювання з урахуванням вимог законодавчої техніки.</w:t>
      </w:r>
    </w:p>
    <w:p w:rsidR="006101AA" w:rsidRDefault="006101AA" w:rsidP="009C71D4">
      <w:pPr>
        <w:spacing w:after="0" w:line="240" w:lineRule="auto"/>
        <w:ind w:firstLine="709"/>
        <w:jc w:val="both"/>
      </w:pPr>
    </w:p>
    <w:p w:rsidR="006101AA" w:rsidRDefault="006101AA" w:rsidP="009C71D4">
      <w:pPr>
        <w:spacing w:after="0" w:line="240" w:lineRule="auto"/>
        <w:ind w:firstLine="709"/>
        <w:jc w:val="both"/>
      </w:pPr>
    </w:p>
    <w:p w:rsidR="006101AA" w:rsidRDefault="006101AA" w:rsidP="009C71D4">
      <w:pPr>
        <w:spacing w:after="0" w:line="240" w:lineRule="auto"/>
        <w:ind w:firstLine="709"/>
        <w:jc w:val="both"/>
      </w:pPr>
    </w:p>
    <w:p w:rsidR="006101AA" w:rsidRDefault="006101AA" w:rsidP="009C71D4">
      <w:pPr>
        <w:spacing w:after="0" w:line="240" w:lineRule="auto"/>
        <w:ind w:firstLine="709"/>
        <w:jc w:val="both"/>
      </w:pPr>
    </w:p>
    <w:p w:rsidR="006101AA" w:rsidRDefault="006101AA" w:rsidP="00175E19">
      <w:pPr>
        <w:spacing w:after="0" w:line="240" w:lineRule="auto"/>
        <w:jc w:val="both"/>
      </w:pPr>
      <w:r>
        <w:t>Заступник керівника</w:t>
      </w:r>
    </w:p>
    <w:p w:rsidR="006101AA" w:rsidRPr="00E94E02" w:rsidRDefault="006101AA" w:rsidP="00175E19">
      <w:pPr>
        <w:spacing w:after="0" w:line="240" w:lineRule="auto"/>
        <w:jc w:val="both"/>
      </w:pPr>
      <w:r>
        <w:t xml:space="preserve">Головного управління                                                                   В. МІЛОВАНОВ  </w:t>
      </w:r>
    </w:p>
    <w:p w:rsidR="006101AA" w:rsidRDefault="006101AA" w:rsidP="0029743F">
      <w:pPr>
        <w:spacing w:after="0" w:line="240" w:lineRule="auto"/>
        <w:ind w:firstLine="709"/>
        <w:jc w:val="both"/>
      </w:pPr>
    </w:p>
    <w:p w:rsidR="006101AA" w:rsidRDefault="006101AA" w:rsidP="0029743F">
      <w:pPr>
        <w:spacing w:after="0" w:line="240" w:lineRule="auto"/>
        <w:ind w:firstLine="709"/>
        <w:jc w:val="both"/>
      </w:pPr>
      <w:r>
        <w:t xml:space="preserve">  </w:t>
      </w:r>
    </w:p>
    <w:p w:rsidR="006101AA" w:rsidRPr="00EB35A6" w:rsidRDefault="006101AA" w:rsidP="0029743F">
      <w:pPr>
        <w:spacing w:after="0" w:line="240" w:lineRule="auto"/>
        <w:ind w:firstLine="709"/>
        <w:jc w:val="both"/>
      </w:pPr>
      <w:r>
        <w:t xml:space="preserve"> </w:t>
      </w:r>
    </w:p>
    <w:p w:rsidR="006101AA" w:rsidRDefault="006101AA" w:rsidP="00636F73">
      <w:pPr>
        <w:spacing w:after="0" w:line="240" w:lineRule="auto"/>
        <w:jc w:val="both"/>
      </w:pPr>
    </w:p>
    <w:sectPr w:rsidR="006101AA" w:rsidSect="00E8216F">
      <w:footerReference w:type="default" r:id="rId6"/>
      <w:pgSz w:w="11906" w:h="16838"/>
      <w:pgMar w:top="850" w:right="850" w:bottom="850" w:left="1417"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1AA" w:rsidRDefault="006101AA" w:rsidP="00E8216F">
      <w:pPr>
        <w:spacing w:after="0" w:line="240" w:lineRule="auto"/>
      </w:pPr>
      <w:r>
        <w:separator/>
      </w:r>
    </w:p>
  </w:endnote>
  <w:endnote w:type="continuationSeparator" w:id="0">
    <w:p w:rsidR="006101AA" w:rsidRDefault="006101AA" w:rsidP="00E821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1AA" w:rsidRDefault="006101AA">
    <w:pPr>
      <w:pStyle w:val="Footer"/>
      <w:jc w:val="right"/>
    </w:pPr>
    <w:fldSimple w:instr="PAGE   \* MERGEFORMAT">
      <w:r>
        <w:rPr>
          <w:noProof/>
        </w:rPr>
        <w:t>5</w:t>
      </w:r>
    </w:fldSimple>
  </w:p>
  <w:p w:rsidR="006101AA" w:rsidRDefault="006101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1AA" w:rsidRDefault="006101AA" w:rsidP="00E8216F">
      <w:pPr>
        <w:spacing w:after="0" w:line="240" w:lineRule="auto"/>
      </w:pPr>
      <w:r>
        <w:separator/>
      </w:r>
    </w:p>
  </w:footnote>
  <w:footnote w:type="continuationSeparator" w:id="0">
    <w:p w:rsidR="006101AA" w:rsidRDefault="006101AA" w:rsidP="00E8216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12319"/>
    <w:rsid w:val="000B422F"/>
    <w:rsid w:val="000F364D"/>
    <w:rsid w:val="00175E19"/>
    <w:rsid w:val="001A1868"/>
    <w:rsid w:val="00273DF6"/>
    <w:rsid w:val="0029743F"/>
    <w:rsid w:val="002F23E3"/>
    <w:rsid w:val="00300705"/>
    <w:rsid w:val="00312319"/>
    <w:rsid w:val="00312A01"/>
    <w:rsid w:val="004134BC"/>
    <w:rsid w:val="004D54E7"/>
    <w:rsid w:val="006101AA"/>
    <w:rsid w:val="00636F73"/>
    <w:rsid w:val="006660A1"/>
    <w:rsid w:val="00680038"/>
    <w:rsid w:val="006C0973"/>
    <w:rsid w:val="00782394"/>
    <w:rsid w:val="007C56F4"/>
    <w:rsid w:val="008247A9"/>
    <w:rsid w:val="008818A3"/>
    <w:rsid w:val="00953DBE"/>
    <w:rsid w:val="00991A32"/>
    <w:rsid w:val="009C14C9"/>
    <w:rsid w:val="009C71D4"/>
    <w:rsid w:val="00A072C9"/>
    <w:rsid w:val="00A65031"/>
    <w:rsid w:val="00B33FB9"/>
    <w:rsid w:val="00BB6860"/>
    <w:rsid w:val="00BF126D"/>
    <w:rsid w:val="00C17AE0"/>
    <w:rsid w:val="00C55D51"/>
    <w:rsid w:val="00C65DCC"/>
    <w:rsid w:val="00CB1DEF"/>
    <w:rsid w:val="00CB7B1C"/>
    <w:rsid w:val="00CC3EF1"/>
    <w:rsid w:val="00D56541"/>
    <w:rsid w:val="00E25E2B"/>
    <w:rsid w:val="00E3481E"/>
    <w:rsid w:val="00E8216F"/>
    <w:rsid w:val="00E94E02"/>
    <w:rsid w:val="00EB35A6"/>
    <w:rsid w:val="00F40B48"/>
    <w:rsid w:val="00F75A19"/>
    <w:rsid w:val="00FC1CE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Calibri"/>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DEF"/>
    <w:pPr>
      <w:spacing w:after="160" w:line="259" w:lineRule="auto"/>
    </w:pPr>
    <w:rPr>
      <w:sz w:val="28"/>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C71D4"/>
    <w:pPr>
      <w:ind w:left="720"/>
      <w:contextualSpacing/>
    </w:pPr>
  </w:style>
  <w:style w:type="paragraph" w:styleId="Header">
    <w:name w:val="header"/>
    <w:basedOn w:val="Normal"/>
    <w:link w:val="HeaderChar"/>
    <w:uiPriority w:val="99"/>
    <w:rsid w:val="00E8216F"/>
    <w:pPr>
      <w:tabs>
        <w:tab w:val="center" w:pos="4819"/>
        <w:tab w:val="right" w:pos="9639"/>
      </w:tabs>
      <w:spacing w:after="0" w:line="240" w:lineRule="auto"/>
    </w:pPr>
  </w:style>
  <w:style w:type="character" w:customStyle="1" w:styleId="HeaderChar">
    <w:name w:val="Header Char"/>
    <w:basedOn w:val="DefaultParagraphFont"/>
    <w:link w:val="Header"/>
    <w:uiPriority w:val="99"/>
    <w:locked/>
    <w:rsid w:val="00E8216F"/>
    <w:rPr>
      <w:rFonts w:cs="Times New Roman"/>
    </w:rPr>
  </w:style>
  <w:style w:type="paragraph" w:styleId="Footer">
    <w:name w:val="footer"/>
    <w:basedOn w:val="Normal"/>
    <w:link w:val="FooterChar"/>
    <w:uiPriority w:val="99"/>
    <w:rsid w:val="00E8216F"/>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8216F"/>
    <w:rPr>
      <w:rFonts w:cs="Times New Roman"/>
    </w:rPr>
  </w:style>
</w:styles>
</file>

<file path=word/webSettings.xml><?xml version="1.0" encoding="utf-8"?>
<w:webSettings xmlns:r="http://schemas.openxmlformats.org/officeDocument/2006/relationships" xmlns:w="http://schemas.openxmlformats.org/wordprocessingml/2006/main">
  <w:divs>
    <w:div w:id="1946233344">
      <w:marLeft w:val="0"/>
      <w:marRight w:val="0"/>
      <w:marTop w:val="0"/>
      <w:marBottom w:val="0"/>
      <w:divBdr>
        <w:top w:val="none" w:sz="0" w:space="0" w:color="auto"/>
        <w:left w:val="none" w:sz="0" w:space="0" w:color="auto"/>
        <w:bottom w:val="none" w:sz="0" w:space="0" w:color="auto"/>
        <w:right w:val="none" w:sz="0" w:space="0" w:color="auto"/>
      </w:divBdr>
    </w:div>
    <w:div w:id="19462333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1935</Words>
  <Characters>11036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Безугла Вікторія Віталіївна</dc:creator>
  <cp:keywords/>
  <dc:description/>
  <cp:lastModifiedBy>OSCE</cp:lastModifiedBy>
  <cp:revision>3</cp:revision>
  <cp:lastPrinted>2017-03-17T09:04:00Z</cp:lastPrinted>
  <dcterms:created xsi:type="dcterms:W3CDTF">2017-03-20T10:01:00Z</dcterms:created>
  <dcterms:modified xsi:type="dcterms:W3CDTF">2017-03-20T10:10:00Z</dcterms:modified>
</cp:coreProperties>
</file>