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3CB" w:rsidRDefault="008743CB" w:rsidP="008743CB">
      <w:pPr>
        <w:ind w:left="6120"/>
        <w:jc w:val="center"/>
        <w:rPr>
          <w:bCs/>
          <w:sz w:val="22"/>
          <w:szCs w:val="22"/>
        </w:rPr>
      </w:pPr>
      <w:r>
        <w:rPr>
          <w:bCs/>
          <w:caps/>
          <w:sz w:val="22"/>
          <w:szCs w:val="22"/>
        </w:rPr>
        <w:t>Д</w:t>
      </w:r>
      <w:r>
        <w:rPr>
          <w:bCs/>
          <w:sz w:val="22"/>
          <w:szCs w:val="22"/>
        </w:rPr>
        <w:t xml:space="preserve">о реєстр. № </w:t>
      </w:r>
      <w:r>
        <w:rPr>
          <w:bCs/>
          <w:sz w:val="22"/>
          <w:szCs w:val="22"/>
        </w:rPr>
        <w:t>4666</w:t>
      </w:r>
      <w:r>
        <w:rPr>
          <w:bCs/>
          <w:sz w:val="22"/>
          <w:szCs w:val="22"/>
          <w:lang w:val="ru-RU"/>
        </w:rPr>
        <w:t xml:space="preserve">  </w:t>
      </w:r>
    </w:p>
    <w:p w:rsidR="008743CB" w:rsidRDefault="008743CB" w:rsidP="008743CB">
      <w:pPr>
        <w:ind w:left="61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(друге читання)</w:t>
      </w:r>
    </w:p>
    <w:p w:rsidR="008743CB" w:rsidRDefault="008743CB" w:rsidP="008743CB">
      <w:pPr>
        <w:jc w:val="both"/>
      </w:pPr>
    </w:p>
    <w:p w:rsidR="008743CB" w:rsidRDefault="008743CB" w:rsidP="008743CB">
      <w:pPr>
        <w:jc w:val="center"/>
        <w:rPr>
          <w:b/>
          <w:bCs/>
          <w:sz w:val="32"/>
        </w:rPr>
      </w:pPr>
    </w:p>
    <w:p w:rsidR="008743CB" w:rsidRDefault="008743CB" w:rsidP="008743CB">
      <w:pPr>
        <w:jc w:val="center"/>
        <w:rPr>
          <w:b/>
          <w:bCs/>
          <w:sz w:val="32"/>
        </w:rPr>
      </w:pPr>
    </w:p>
    <w:p w:rsidR="008743CB" w:rsidRDefault="008743CB" w:rsidP="008743CB">
      <w:pPr>
        <w:jc w:val="center"/>
        <w:rPr>
          <w:b/>
          <w:bCs/>
          <w:sz w:val="32"/>
        </w:rPr>
      </w:pPr>
    </w:p>
    <w:p w:rsidR="008743CB" w:rsidRDefault="008743CB" w:rsidP="008743CB">
      <w:pPr>
        <w:jc w:val="center"/>
        <w:rPr>
          <w:b/>
          <w:bCs/>
          <w:sz w:val="32"/>
        </w:rPr>
      </w:pPr>
    </w:p>
    <w:p w:rsidR="008743CB" w:rsidRDefault="008743CB" w:rsidP="008743CB">
      <w:pPr>
        <w:jc w:val="center"/>
        <w:rPr>
          <w:b/>
          <w:bCs/>
          <w:sz w:val="32"/>
        </w:rPr>
      </w:pPr>
    </w:p>
    <w:p w:rsidR="008743CB" w:rsidRDefault="008743CB" w:rsidP="008743CB">
      <w:pPr>
        <w:jc w:val="center"/>
        <w:rPr>
          <w:b/>
          <w:bCs/>
          <w:sz w:val="32"/>
        </w:rPr>
      </w:pPr>
      <w:bookmarkStart w:id="0" w:name="_GoBack"/>
      <w:bookmarkEnd w:id="0"/>
    </w:p>
    <w:p w:rsidR="008743CB" w:rsidRDefault="008743CB" w:rsidP="008743CB">
      <w:pPr>
        <w:jc w:val="center"/>
        <w:rPr>
          <w:b/>
          <w:bCs/>
          <w:sz w:val="28"/>
          <w:szCs w:val="28"/>
        </w:rPr>
      </w:pPr>
    </w:p>
    <w:p w:rsidR="008743CB" w:rsidRDefault="008743CB" w:rsidP="008743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 А У В А Ж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8743CB" w:rsidRDefault="008743CB" w:rsidP="008743CB">
      <w:pPr>
        <w:jc w:val="center"/>
        <w:rPr>
          <w:sz w:val="32"/>
        </w:rPr>
      </w:pPr>
      <w:r>
        <w:rPr>
          <w:sz w:val="32"/>
        </w:rPr>
        <w:t xml:space="preserve"> </w:t>
      </w:r>
    </w:p>
    <w:p w:rsidR="008743CB" w:rsidRDefault="008743CB" w:rsidP="008743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</w:t>
      </w:r>
    </w:p>
    <w:p w:rsidR="008743CB" w:rsidRDefault="008743CB" w:rsidP="008743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</w:t>
      </w:r>
      <w:r>
        <w:rPr>
          <w:b/>
          <w:sz w:val="28"/>
          <w:szCs w:val="28"/>
        </w:rPr>
        <w:t xml:space="preserve"> товариства з обмеженою та додатковою відповідальністю</w:t>
      </w:r>
      <w:r>
        <w:rPr>
          <w:b/>
          <w:sz w:val="28"/>
          <w:szCs w:val="28"/>
        </w:rPr>
        <w:t>»</w:t>
      </w:r>
    </w:p>
    <w:p w:rsidR="008743CB" w:rsidRDefault="008743CB" w:rsidP="008743CB">
      <w:pPr>
        <w:jc w:val="center"/>
        <w:rPr>
          <w:sz w:val="28"/>
        </w:rPr>
      </w:pPr>
    </w:p>
    <w:p w:rsidR="008743CB" w:rsidRDefault="008743CB" w:rsidP="008743CB">
      <w:pPr>
        <w:ind w:firstLine="709"/>
        <w:jc w:val="both"/>
        <w:rPr>
          <w:sz w:val="28"/>
        </w:rPr>
      </w:pPr>
    </w:p>
    <w:p w:rsidR="008743CB" w:rsidRDefault="008743CB" w:rsidP="008743CB">
      <w:pPr>
        <w:ind w:firstLine="709"/>
        <w:jc w:val="both"/>
        <w:rPr>
          <w:sz w:val="28"/>
        </w:rPr>
      </w:pPr>
      <w:r>
        <w:rPr>
          <w:sz w:val="28"/>
        </w:rPr>
        <w:t xml:space="preserve">У Головному юридичному управлінні </w:t>
      </w:r>
      <w:r w:rsidR="006C213B">
        <w:rPr>
          <w:sz w:val="28"/>
        </w:rPr>
        <w:t>в</w:t>
      </w:r>
      <w:r w:rsidR="006C213B" w:rsidRPr="0026712C">
        <w:rPr>
          <w:sz w:val="28"/>
        </w:rPr>
        <w:t xml:space="preserve"> межах відведеного часу (проект надійшов </w:t>
      </w:r>
      <w:r w:rsidR="006C213B">
        <w:rPr>
          <w:sz w:val="28"/>
        </w:rPr>
        <w:t xml:space="preserve">11 квітня 2017 р. </w:t>
      </w:r>
      <w:r w:rsidR="006C213B" w:rsidRPr="0026712C">
        <w:rPr>
          <w:sz w:val="28"/>
        </w:rPr>
        <w:t xml:space="preserve">о </w:t>
      </w:r>
      <w:r w:rsidR="006C213B">
        <w:rPr>
          <w:sz w:val="28"/>
        </w:rPr>
        <w:t>17 год. 25 хв.</w:t>
      </w:r>
      <w:r w:rsidR="006C213B" w:rsidRPr="0026712C">
        <w:rPr>
          <w:sz w:val="28"/>
        </w:rPr>
        <w:t xml:space="preserve">) </w:t>
      </w:r>
      <w:r>
        <w:rPr>
          <w:sz w:val="28"/>
        </w:rPr>
        <w:t>проаналізовано текст проекту Закону України «Про</w:t>
      </w:r>
      <w:r>
        <w:rPr>
          <w:sz w:val="28"/>
        </w:rPr>
        <w:t xml:space="preserve"> товариства з обмеженою та додатковою відповідальністю</w:t>
      </w:r>
      <w:r>
        <w:rPr>
          <w:sz w:val="28"/>
        </w:rPr>
        <w:t>», підготовлений до розгляду в другому читанні, та висловлюються такі зауваження.</w:t>
      </w:r>
    </w:p>
    <w:p w:rsidR="008743CB" w:rsidRDefault="008743CB" w:rsidP="008743CB">
      <w:pPr>
        <w:ind w:firstLine="540"/>
        <w:jc w:val="both"/>
        <w:rPr>
          <w:sz w:val="28"/>
          <w:szCs w:val="28"/>
        </w:rPr>
      </w:pPr>
    </w:p>
    <w:p w:rsidR="006C213B" w:rsidRPr="006C213B" w:rsidRDefault="006C213B" w:rsidP="006C213B">
      <w:pPr>
        <w:ind w:firstLine="540"/>
        <w:jc w:val="both"/>
        <w:rPr>
          <w:sz w:val="28"/>
          <w:szCs w:val="28"/>
        </w:rPr>
      </w:pPr>
      <w:r w:rsidRPr="006C213B">
        <w:rPr>
          <w:sz w:val="28"/>
          <w:szCs w:val="28"/>
        </w:rPr>
        <w:t>Підтримуючи висновок Головного науково-експертного управління до цього проекту, який не втратив актуальності,</w:t>
      </w:r>
      <w:r w:rsidR="0031444D">
        <w:rPr>
          <w:sz w:val="28"/>
          <w:szCs w:val="28"/>
        </w:rPr>
        <w:t xml:space="preserve"> зазначаємо</w:t>
      </w:r>
      <w:r w:rsidRPr="006C213B">
        <w:rPr>
          <w:sz w:val="28"/>
          <w:szCs w:val="28"/>
        </w:rPr>
        <w:t xml:space="preserve"> таке. </w:t>
      </w:r>
    </w:p>
    <w:p w:rsidR="008743CB" w:rsidRDefault="008743CB" w:rsidP="008743CB">
      <w:pPr>
        <w:ind w:firstLine="540"/>
        <w:jc w:val="both"/>
        <w:rPr>
          <w:rFonts w:ascii="Times New Roman CYR"/>
          <w:sz w:val="28"/>
        </w:rPr>
      </w:pPr>
    </w:p>
    <w:p w:rsidR="003560F5" w:rsidRDefault="008743CB" w:rsidP="00CA3017">
      <w:pPr>
        <w:ind w:firstLine="540"/>
        <w:jc w:val="both"/>
        <w:rPr>
          <w:rFonts w:ascii="Times New Roman CYR"/>
          <w:sz w:val="28"/>
        </w:rPr>
      </w:pPr>
      <w:r>
        <w:rPr>
          <w:rFonts w:ascii="Times New Roman CYR"/>
          <w:sz w:val="28"/>
        </w:rPr>
        <w:t xml:space="preserve">1. </w:t>
      </w:r>
      <w:r w:rsidR="00464A20">
        <w:rPr>
          <w:rFonts w:ascii="Times New Roman CYR"/>
          <w:sz w:val="28"/>
        </w:rPr>
        <w:t>Статтею</w:t>
      </w:r>
      <w:r w:rsidR="00464A20">
        <w:rPr>
          <w:rFonts w:ascii="Times New Roman CYR"/>
          <w:sz w:val="28"/>
        </w:rPr>
        <w:t xml:space="preserve"> 6 </w:t>
      </w:r>
      <w:r w:rsidR="00464A20">
        <w:rPr>
          <w:rFonts w:ascii="Times New Roman CYR"/>
          <w:sz w:val="28"/>
        </w:rPr>
        <w:t>проекту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встановлено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два</w:t>
      </w:r>
      <w:r w:rsidR="006C78C3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обов’язк</w:t>
      </w:r>
      <w:r w:rsidR="006C78C3">
        <w:rPr>
          <w:rFonts w:ascii="Times New Roman CYR"/>
          <w:sz w:val="28"/>
        </w:rPr>
        <w:t>и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для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учасників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товариства</w:t>
      </w:r>
      <w:r w:rsidR="006B0FA0">
        <w:rPr>
          <w:rFonts w:ascii="Times New Roman CYR"/>
          <w:sz w:val="28"/>
        </w:rPr>
        <w:t xml:space="preserve">: </w:t>
      </w:r>
      <w:r w:rsidR="006B0FA0">
        <w:rPr>
          <w:rFonts w:ascii="Times New Roman CYR"/>
          <w:sz w:val="28"/>
        </w:rPr>
        <w:t>дотримуватися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статуту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та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виконувати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рішення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загальних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зборів</w:t>
      </w:r>
      <w:r w:rsidR="006B0FA0">
        <w:rPr>
          <w:rFonts w:ascii="Times New Roman CYR"/>
          <w:sz w:val="28"/>
        </w:rPr>
        <w:t xml:space="preserve"> </w:t>
      </w:r>
      <w:r w:rsidR="006B0FA0">
        <w:rPr>
          <w:rFonts w:ascii="Times New Roman CYR"/>
          <w:sz w:val="28"/>
        </w:rPr>
        <w:t>учасників</w:t>
      </w:r>
      <w:r w:rsidR="006B0FA0">
        <w:rPr>
          <w:rFonts w:ascii="Times New Roman CYR"/>
          <w:sz w:val="28"/>
        </w:rPr>
        <w:t>.</w:t>
      </w:r>
    </w:p>
    <w:p w:rsidR="006B0FA0" w:rsidRDefault="006B0FA0" w:rsidP="00CA3017">
      <w:pPr>
        <w:ind w:firstLine="540"/>
        <w:jc w:val="both"/>
        <w:rPr>
          <w:rStyle w:val="st42"/>
          <w:sz w:val="28"/>
          <w:szCs w:val="28"/>
        </w:rPr>
      </w:pP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Разом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тим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в</w:t>
      </w:r>
      <w:r w:rsidR="006C78C3">
        <w:rPr>
          <w:rFonts w:ascii="Times New Roman CYR"/>
          <w:sz w:val="28"/>
        </w:rPr>
        <w:t xml:space="preserve"> </w:t>
      </w:r>
      <w:r w:rsidR="0031444D">
        <w:rPr>
          <w:rFonts w:ascii="Times New Roman CYR"/>
          <w:sz w:val="28"/>
        </w:rPr>
        <w:t>законопроекті</w:t>
      </w:r>
      <w:r w:rsidR="0031444D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йдеться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про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виконання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учасниками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й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інших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обов’язків</w:t>
      </w:r>
      <w:r w:rsidR="006C78C3">
        <w:rPr>
          <w:rFonts w:ascii="Times New Roman CYR"/>
          <w:sz w:val="28"/>
        </w:rPr>
        <w:t xml:space="preserve">, </w:t>
      </w:r>
      <w:r w:rsidR="006C78C3">
        <w:rPr>
          <w:rFonts w:ascii="Times New Roman CYR"/>
          <w:sz w:val="28"/>
        </w:rPr>
        <w:t>а</w:t>
      </w:r>
      <w:r w:rsidR="006C78C3">
        <w:rPr>
          <w:rFonts w:ascii="Times New Roman CYR"/>
          <w:sz w:val="28"/>
        </w:rPr>
        <w:t xml:space="preserve"> </w:t>
      </w:r>
      <w:r w:rsidR="006C78C3">
        <w:rPr>
          <w:rFonts w:ascii="Times New Roman CYR"/>
          <w:sz w:val="28"/>
        </w:rPr>
        <w:t>чинною</w:t>
      </w:r>
      <w:r w:rsidR="006C78C3">
        <w:rPr>
          <w:rFonts w:ascii="Times New Roman CYR"/>
          <w:sz w:val="28"/>
        </w:rPr>
        <w:t xml:space="preserve">  </w:t>
      </w:r>
      <w:r>
        <w:rPr>
          <w:rFonts w:ascii="Times New Roman CYR"/>
          <w:sz w:val="28"/>
        </w:rPr>
        <w:t>статтею</w:t>
      </w:r>
      <w:r>
        <w:rPr>
          <w:rFonts w:ascii="Times New Roman CYR"/>
          <w:sz w:val="28"/>
        </w:rPr>
        <w:t xml:space="preserve"> 11 </w:t>
      </w:r>
      <w:r>
        <w:rPr>
          <w:rFonts w:ascii="Times New Roman CYR"/>
          <w:sz w:val="28"/>
        </w:rPr>
        <w:t>Закону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«Про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господарські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товариства»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та</w:t>
      </w:r>
      <w:r>
        <w:rPr>
          <w:rFonts w:ascii="Times New Roman CYR"/>
          <w:sz w:val="28"/>
        </w:rPr>
        <w:t xml:space="preserve"> </w:t>
      </w:r>
      <w:r w:rsidRPr="006B0FA0">
        <w:rPr>
          <w:rFonts w:ascii="Times New Roman CYR"/>
          <w:sz w:val="28"/>
          <w:szCs w:val="28"/>
        </w:rPr>
        <w:t>частиною</w:t>
      </w:r>
      <w:r w:rsidRPr="006B0FA0">
        <w:rPr>
          <w:rFonts w:ascii="Times New Roman CYR"/>
          <w:sz w:val="28"/>
          <w:szCs w:val="28"/>
        </w:rPr>
        <w:t xml:space="preserve"> </w:t>
      </w:r>
      <w:r w:rsidRPr="006B0FA0">
        <w:rPr>
          <w:rFonts w:ascii="Times New Roman CYR"/>
          <w:sz w:val="28"/>
          <w:szCs w:val="28"/>
        </w:rPr>
        <w:t>другою</w:t>
      </w:r>
      <w:r w:rsidRPr="006B0FA0">
        <w:rPr>
          <w:rFonts w:ascii="Times New Roman CYR"/>
          <w:sz w:val="28"/>
          <w:szCs w:val="28"/>
        </w:rPr>
        <w:t xml:space="preserve"> </w:t>
      </w:r>
      <w:r w:rsidRPr="006B0FA0">
        <w:rPr>
          <w:rFonts w:ascii="Times New Roman CYR"/>
          <w:sz w:val="28"/>
          <w:szCs w:val="28"/>
        </w:rPr>
        <w:t>статті</w:t>
      </w:r>
      <w:r w:rsidRPr="006B0FA0">
        <w:rPr>
          <w:rFonts w:ascii="Times New Roman CYR"/>
          <w:sz w:val="28"/>
          <w:szCs w:val="28"/>
        </w:rPr>
        <w:t xml:space="preserve"> 117 </w:t>
      </w:r>
      <w:r w:rsidRPr="006B0FA0">
        <w:rPr>
          <w:rFonts w:ascii="Times New Roman CYR"/>
          <w:sz w:val="28"/>
          <w:szCs w:val="28"/>
        </w:rPr>
        <w:t>Цивільного</w:t>
      </w:r>
      <w:r w:rsidRPr="006B0FA0">
        <w:rPr>
          <w:rFonts w:ascii="Times New Roman CYR"/>
          <w:sz w:val="28"/>
          <w:szCs w:val="28"/>
        </w:rPr>
        <w:t xml:space="preserve"> </w:t>
      </w:r>
      <w:r w:rsidRPr="006B0FA0">
        <w:rPr>
          <w:rFonts w:ascii="Times New Roman CYR"/>
          <w:sz w:val="28"/>
          <w:szCs w:val="28"/>
        </w:rPr>
        <w:t>кодексу</w:t>
      </w:r>
      <w:r w:rsidRPr="006B0FA0">
        <w:rPr>
          <w:rFonts w:ascii="Times New Roman CYR"/>
          <w:sz w:val="28"/>
          <w:szCs w:val="28"/>
        </w:rPr>
        <w:t xml:space="preserve"> </w:t>
      </w:r>
      <w:r w:rsidRPr="006B0FA0">
        <w:rPr>
          <w:rFonts w:ascii="Times New Roman CYR"/>
          <w:sz w:val="28"/>
          <w:szCs w:val="28"/>
        </w:rPr>
        <w:t>України</w:t>
      </w:r>
      <w:r w:rsidRPr="006B0FA0">
        <w:rPr>
          <w:rFonts w:ascii="Times New Roman CYR"/>
          <w:sz w:val="28"/>
          <w:szCs w:val="28"/>
        </w:rPr>
        <w:t xml:space="preserve"> </w:t>
      </w:r>
      <w:r w:rsidRPr="006B0FA0">
        <w:rPr>
          <w:rFonts w:ascii="Times New Roman CYR"/>
          <w:sz w:val="28"/>
          <w:szCs w:val="28"/>
        </w:rPr>
        <w:t>передбачено</w:t>
      </w:r>
      <w:r w:rsidRPr="006B0FA0">
        <w:rPr>
          <w:rFonts w:ascii="Times New Roman CYR"/>
          <w:sz w:val="28"/>
          <w:szCs w:val="28"/>
        </w:rPr>
        <w:t xml:space="preserve">, </w:t>
      </w:r>
      <w:r w:rsidRPr="006B0FA0">
        <w:rPr>
          <w:rFonts w:ascii="Times New Roman CYR"/>
          <w:sz w:val="28"/>
          <w:szCs w:val="28"/>
        </w:rPr>
        <w:t>що</w:t>
      </w:r>
      <w:r w:rsidRPr="006B0FA0">
        <w:rPr>
          <w:rFonts w:ascii="Times New Roman CYR"/>
          <w:sz w:val="28"/>
          <w:szCs w:val="28"/>
        </w:rPr>
        <w:t xml:space="preserve"> </w:t>
      </w:r>
      <w:r>
        <w:rPr>
          <w:rFonts w:ascii="Times New Roman CYR"/>
          <w:sz w:val="28"/>
          <w:szCs w:val="28"/>
        </w:rPr>
        <w:t>у</w:t>
      </w:r>
      <w:r w:rsidRPr="006B0FA0">
        <w:rPr>
          <w:rStyle w:val="st42"/>
          <w:sz w:val="28"/>
          <w:szCs w:val="28"/>
        </w:rPr>
        <w:t xml:space="preserve">часники господарського товариства можуть також мати </w:t>
      </w:r>
      <w:r w:rsidRPr="00D200F7">
        <w:rPr>
          <w:rStyle w:val="st42"/>
          <w:sz w:val="28"/>
          <w:szCs w:val="28"/>
        </w:rPr>
        <w:t>інші обов'язки, встановлені установчим документом товариства та законом</w:t>
      </w:r>
      <w:r w:rsidRPr="00D200F7">
        <w:rPr>
          <w:rStyle w:val="st42"/>
          <w:sz w:val="28"/>
          <w:szCs w:val="28"/>
        </w:rPr>
        <w:t xml:space="preserve">. </w:t>
      </w:r>
      <w:r>
        <w:rPr>
          <w:rStyle w:val="st42"/>
          <w:sz w:val="28"/>
          <w:szCs w:val="28"/>
        </w:rPr>
        <w:t xml:space="preserve">Отже, </w:t>
      </w:r>
      <w:r w:rsidR="006C78C3">
        <w:rPr>
          <w:rStyle w:val="st42"/>
          <w:sz w:val="28"/>
          <w:szCs w:val="28"/>
        </w:rPr>
        <w:t xml:space="preserve">стаття 6 </w:t>
      </w:r>
      <w:r>
        <w:rPr>
          <w:rStyle w:val="st42"/>
          <w:sz w:val="28"/>
          <w:szCs w:val="28"/>
        </w:rPr>
        <w:t>проект</w:t>
      </w:r>
      <w:r w:rsidR="006C78C3">
        <w:rPr>
          <w:rStyle w:val="st42"/>
          <w:sz w:val="28"/>
          <w:szCs w:val="28"/>
        </w:rPr>
        <w:t>у</w:t>
      </w:r>
      <w:r>
        <w:rPr>
          <w:rStyle w:val="st42"/>
          <w:sz w:val="28"/>
          <w:szCs w:val="28"/>
        </w:rPr>
        <w:t xml:space="preserve"> звужує коло обов’язків учасників товариства</w:t>
      </w:r>
      <w:r w:rsidR="006C78C3">
        <w:rPr>
          <w:rStyle w:val="st42"/>
          <w:sz w:val="28"/>
          <w:szCs w:val="28"/>
        </w:rPr>
        <w:t>, а відтак потребує</w:t>
      </w:r>
      <w:r>
        <w:rPr>
          <w:rStyle w:val="st42"/>
          <w:sz w:val="28"/>
          <w:szCs w:val="28"/>
        </w:rPr>
        <w:t xml:space="preserve"> узгодження із нормами Цивільного кодексу України та Закону України «Про господарські товариства». </w:t>
      </w:r>
    </w:p>
    <w:p w:rsidR="006B0FA0" w:rsidRDefault="006B0FA0" w:rsidP="00CA3017">
      <w:pPr>
        <w:ind w:firstLine="540"/>
        <w:jc w:val="both"/>
        <w:rPr>
          <w:rStyle w:val="st42"/>
          <w:sz w:val="28"/>
          <w:szCs w:val="28"/>
        </w:rPr>
      </w:pPr>
    </w:p>
    <w:p w:rsidR="00A77F60" w:rsidRDefault="006B0FA0" w:rsidP="00CA3017">
      <w:pPr>
        <w:ind w:firstLine="540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2.  </w:t>
      </w:r>
      <w:r w:rsidR="003560F5">
        <w:rPr>
          <w:rStyle w:val="st42"/>
          <w:sz w:val="28"/>
          <w:szCs w:val="28"/>
        </w:rPr>
        <w:t xml:space="preserve">Відповідно до статті 7 проекту «договір, за яким учасники товариства зобов’язуються реалізувати свої права та повноваження певним чином або утриматися від їх реалізації», є корпоративним договором. </w:t>
      </w:r>
    </w:p>
    <w:p w:rsidR="000457DA" w:rsidRDefault="003560F5" w:rsidP="00CA3017">
      <w:pPr>
        <w:ind w:firstLine="540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На нашу думку, </w:t>
      </w:r>
      <w:r w:rsidR="0090747E">
        <w:rPr>
          <w:rStyle w:val="st42"/>
          <w:sz w:val="28"/>
          <w:szCs w:val="28"/>
        </w:rPr>
        <w:t xml:space="preserve">правова конструкція «певним чином» має оціночний характер та потребує уточнення. Також з метою однакового застосування положень </w:t>
      </w:r>
      <w:r w:rsidR="006C78C3">
        <w:rPr>
          <w:rStyle w:val="st42"/>
          <w:sz w:val="28"/>
          <w:szCs w:val="28"/>
        </w:rPr>
        <w:t xml:space="preserve">частини п’ятої </w:t>
      </w:r>
      <w:r w:rsidR="0090747E">
        <w:rPr>
          <w:rStyle w:val="st42"/>
          <w:sz w:val="28"/>
          <w:szCs w:val="28"/>
        </w:rPr>
        <w:t xml:space="preserve">статті </w:t>
      </w:r>
      <w:r w:rsidR="006C78C3">
        <w:rPr>
          <w:rStyle w:val="st42"/>
          <w:sz w:val="28"/>
          <w:szCs w:val="28"/>
        </w:rPr>
        <w:t xml:space="preserve">7 проекту </w:t>
      </w:r>
      <w:r w:rsidR="0090747E">
        <w:rPr>
          <w:rStyle w:val="st42"/>
          <w:sz w:val="28"/>
          <w:szCs w:val="28"/>
        </w:rPr>
        <w:t>на практиці, за якою «зміст корпоративного договору не підлягає розкритт</w:t>
      </w:r>
      <w:r w:rsidR="006C78C3">
        <w:rPr>
          <w:rStyle w:val="st42"/>
          <w:sz w:val="28"/>
          <w:szCs w:val="28"/>
        </w:rPr>
        <w:t>ю</w:t>
      </w:r>
      <w:r w:rsidR="0090747E">
        <w:rPr>
          <w:rStyle w:val="st42"/>
          <w:sz w:val="28"/>
          <w:szCs w:val="28"/>
        </w:rPr>
        <w:t xml:space="preserve"> і є конфіденційним, якщо інше не встановлено законом або договором»</w:t>
      </w:r>
      <w:r w:rsidR="00A77F60">
        <w:rPr>
          <w:rStyle w:val="st42"/>
          <w:sz w:val="28"/>
          <w:szCs w:val="28"/>
        </w:rPr>
        <w:t xml:space="preserve">, доцільно уточнити, яким саме договором встановлюється розкриття змісту корпоративного договору. </w:t>
      </w:r>
      <w:r w:rsidR="0090747E">
        <w:rPr>
          <w:rStyle w:val="st42"/>
          <w:sz w:val="28"/>
          <w:szCs w:val="28"/>
        </w:rPr>
        <w:t xml:space="preserve"> </w:t>
      </w:r>
    </w:p>
    <w:p w:rsidR="00A77F60" w:rsidRDefault="00A77F60" w:rsidP="008743CB">
      <w:pPr>
        <w:ind w:firstLine="540"/>
        <w:jc w:val="both"/>
        <w:rPr>
          <w:rFonts w:eastAsiaTheme="minorHAnsi" w:cstheme="minorHAnsi"/>
          <w:sz w:val="28"/>
          <w:szCs w:val="28"/>
          <w:lang w:eastAsia="en-US"/>
        </w:rPr>
      </w:pPr>
      <w:r>
        <w:rPr>
          <w:rStyle w:val="FontStyle"/>
          <w:szCs w:val="28"/>
        </w:rPr>
        <w:lastRenderedPageBreak/>
        <w:t>3. Згідно зі статтею</w:t>
      </w:r>
      <w:r w:rsidRPr="006C213B">
        <w:rPr>
          <w:rFonts w:eastAsiaTheme="minorHAnsi" w:cstheme="minorHAnsi"/>
          <w:sz w:val="28"/>
          <w:szCs w:val="28"/>
          <w:lang w:eastAsia="en-US"/>
        </w:rPr>
        <w:t xml:space="preserve"> </w:t>
      </w:r>
      <w:r>
        <w:rPr>
          <w:rFonts w:eastAsiaTheme="minorHAnsi" w:cstheme="minorHAnsi"/>
          <w:sz w:val="28"/>
          <w:szCs w:val="28"/>
          <w:lang w:eastAsia="en-US"/>
        </w:rPr>
        <w:t xml:space="preserve">8 проекту </w:t>
      </w:r>
      <w:r w:rsidRPr="006C213B">
        <w:rPr>
          <w:rFonts w:eastAsiaTheme="minorHAnsi" w:cstheme="minorHAnsi"/>
          <w:sz w:val="28"/>
          <w:szCs w:val="28"/>
          <w:lang w:eastAsia="en-US"/>
        </w:rPr>
        <w:t xml:space="preserve">«безвідклична довіреність припиняється у разі припинення зобов’язання, для виконання або забезпечення виконання якого вона видана». У зв’язку з цим, </w:t>
      </w:r>
      <w:r w:rsidR="0031444D">
        <w:rPr>
          <w:rFonts w:eastAsiaTheme="minorHAnsi" w:cstheme="minorHAnsi"/>
          <w:sz w:val="28"/>
          <w:szCs w:val="28"/>
          <w:lang w:eastAsia="en-US"/>
        </w:rPr>
        <w:t xml:space="preserve">враховуючи </w:t>
      </w:r>
      <w:r w:rsidRPr="006C213B">
        <w:rPr>
          <w:rFonts w:eastAsiaTheme="minorHAnsi" w:cstheme="minorHAnsi"/>
          <w:sz w:val="28"/>
          <w:szCs w:val="28"/>
          <w:lang w:eastAsia="en-US"/>
        </w:rPr>
        <w:t xml:space="preserve">норми </w:t>
      </w:r>
      <w:r>
        <w:rPr>
          <w:rFonts w:eastAsiaTheme="minorHAnsi" w:cstheme="minorHAnsi"/>
          <w:sz w:val="28"/>
          <w:szCs w:val="28"/>
          <w:lang w:eastAsia="en-US"/>
        </w:rPr>
        <w:t xml:space="preserve">статті 248 </w:t>
      </w:r>
      <w:r w:rsidRPr="006C213B">
        <w:rPr>
          <w:rFonts w:eastAsiaTheme="minorHAnsi" w:cstheme="minorHAnsi"/>
          <w:sz w:val="28"/>
          <w:szCs w:val="28"/>
          <w:lang w:eastAsia="en-US"/>
        </w:rPr>
        <w:t>Цивільного кодексу України, мова може йти про припинення представництва за безвідкличною довіреністю з внесенням відповідних змін в проект закону та в цей Кодекс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. </w:t>
      </w:r>
    </w:p>
    <w:p w:rsidR="00FA0FE0" w:rsidRDefault="00123ACE" w:rsidP="008743CB">
      <w:pPr>
        <w:ind w:firstLine="540"/>
        <w:jc w:val="both"/>
        <w:rPr>
          <w:rStyle w:val="FontStyle"/>
          <w:szCs w:val="28"/>
        </w:rPr>
      </w:pPr>
      <w:r>
        <w:rPr>
          <w:rFonts w:eastAsiaTheme="minorHAnsi" w:cstheme="minorHAnsi"/>
          <w:sz w:val="28"/>
          <w:szCs w:val="28"/>
          <w:lang w:eastAsia="en-US"/>
        </w:rPr>
        <w:t xml:space="preserve">Крім того, </w:t>
      </w:r>
      <w:r w:rsidR="00FA0FE0">
        <w:rPr>
          <w:rFonts w:eastAsiaTheme="minorHAnsi" w:cstheme="minorHAnsi"/>
          <w:sz w:val="28"/>
          <w:szCs w:val="28"/>
          <w:lang w:eastAsia="en-US"/>
        </w:rPr>
        <w:t>потребу</w:t>
      </w:r>
      <w:r>
        <w:rPr>
          <w:rFonts w:eastAsiaTheme="minorHAnsi" w:cstheme="minorHAnsi"/>
          <w:sz w:val="28"/>
          <w:szCs w:val="28"/>
          <w:lang w:eastAsia="en-US"/>
        </w:rPr>
        <w:t>є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 узгодження із </w:t>
      </w:r>
      <w:r>
        <w:rPr>
          <w:rFonts w:eastAsiaTheme="minorHAnsi" w:cstheme="minorHAnsi"/>
          <w:sz w:val="28"/>
          <w:szCs w:val="28"/>
          <w:lang w:eastAsia="en-US"/>
        </w:rPr>
        <w:t xml:space="preserve">відповідними </w:t>
      </w:r>
      <w:r w:rsidR="00FA0FE0">
        <w:rPr>
          <w:rFonts w:eastAsiaTheme="minorHAnsi" w:cstheme="minorHAnsi"/>
          <w:sz w:val="28"/>
          <w:szCs w:val="28"/>
          <w:lang w:eastAsia="en-US"/>
        </w:rPr>
        <w:t>нормами Цивільного кодексу України використан</w:t>
      </w:r>
      <w:r>
        <w:rPr>
          <w:rFonts w:eastAsiaTheme="minorHAnsi" w:cstheme="minorHAnsi"/>
          <w:sz w:val="28"/>
          <w:szCs w:val="28"/>
          <w:lang w:eastAsia="en-US"/>
        </w:rPr>
        <w:t>а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 в статті 8 проекту</w:t>
      </w:r>
      <w:r w:rsidRPr="00123ACE">
        <w:rPr>
          <w:rFonts w:eastAsiaTheme="minorHAnsi" w:cstheme="minorHAnsi"/>
          <w:sz w:val="28"/>
          <w:szCs w:val="28"/>
          <w:lang w:eastAsia="en-US"/>
        </w:rPr>
        <w:t xml:space="preserve"> </w:t>
      </w:r>
      <w:r>
        <w:rPr>
          <w:rFonts w:eastAsiaTheme="minorHAnsi" w:cstheme="minorHAnsi"/>
          <w:sz w:val="28"/>
          <w:szCs w:val="28"/>
          <w:lang w:eastAsia="en-US"/>
        </w:rPr>
        <w:t xml:space="preserve">така </w:t>
      </w:r>
      <w:r>
        <w:rPr>
          <w:rFonts w:eastAsiaTheme="minorHAnsi" w:cstheme="minorHAnsi"/>
          <w:sz w:val="28"/>
          <w:szCs w:val="28"/>
          <w:lang w:eastAsia="en-US"/>
        </w:rPr>
        <w:t>правов</w:t>
      </w:r>
      <w:r>
        <w:rPr>
          <w:rFonts w:eastAsiaTheme="minorHAnsi" w:cstheme="minorHAnsi"/>
          <w:sz w:val="28"/>
          <w:szCs w:val="28"/>
          <w:lang w:eastAsia="en-US"/>
        </w:rPr>
        <w:t>а</w:t>
      </w:r>
      <w:r>
        <w:rPr>
          <w:rFonts w:eastAsiaTheme="minorHAnsi" w:cstheme="minorHAnsi"/>
          <w:sz w:val="28"/>
          <w:szCs w:val="28"/>
          <w:lang w:eastAsia="en-US"/>
        </w:rPr>
        <w:t xml:space="preserve"> конструкці</w:t>
      </w:r>
      <w:r>
        <w:rPr>
          <w:rFonts w:eastAsiaTheme="minorHAnsi" w:cstheme="minorHAnsi"/>
          <w:sz w:val="28"/>
          <w:szCs w:val="28"/>
          <w:lang w:eastAsia="en-US"/>
        </w:rPr>
        <w:t>я</w:t>
      </w:r>
      <w:r w:rsidR="0031444D">
        <w:rPr>
          <w:rFonts w:eastAsiaTheme="minorHAnsi" w:cstheme="minorHAnsi"/>
          <w:sz w:val="28"/>
          <w:szCs w:val="28"/>
          <w:lang w:eastAsia="en-US"/>
        </w:rPr>
        <w:t>, як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 припинення користування безвідкличною довіреністю </w:t>
      </w:r>
      <w:r>
        <w:rPr>
          <w:rFonts w:eastAsiaTheme="minorHAnsi" w:cstheme="minorHAnsi"/>
          <w:sz w:val="28"/>
          <w:szCs w:val="28"/>
          <w:lang w:eastAsia="en-US"/>
        </w:rPr>
        <w:t>та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 відмов</w:t>
      </w:r>
      <w:r>
        <w:rPr>
          <w:rFonts w:eastAsiaTheme="minorHAnsi" w:cstheme="minorHAnsi"/>
          <w:sz w:val="28"/>
          <w:szCs w:val="28"/>
          <w:lang w:eastAsia="en-US"/>
        </w:rPr>
        <w:t>а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 від</w:t>
      </w:r>
      <w:r>
        <w:rPr>
          <w:rFonts w:eastAsiaTheme="minorHAnsi" w:cstheme="minorHAnsi"/>
          <w:sz w:val="28"/>
          <w:szCs w:val="28"/>
          <w:lang w:eastAsia="en-US"/>
        </w:rPr>
        <w:t xml:space="preserve"> неї</w:t>
      </w:r>
      <w:r w:rsidR="00FA0FE0">
        <w:rPr>
          <w:rFonts w:eastAsiaTheme="minorHAnsi" w:cstheme="minorHAnsi"/>
          <w:sz w:val="28"/>
          <w:szCs w:val="28"/>
          <w:lang w:eastAsia="en-US"/>
        </w:rPr>
        <w:t xml:space="preserve">.   </w:t>
      </w:r>
    </w:p>
    <w:p w:rsidR="008743CB" w:rsidRDefault="009046DD" w:rsidP="008743CB">
      <w:pPr>
        <w:ind w:firstLine="540"/>
        <w:jc w:val="both"/>
        <w:rPr>
          <w:rStyle w:val="FontStyle"/>
          <w:szCs w:val="28"/>
        </w:rPr>
      </w:pPr>
      <w:r>
        <w:rPr>
          <w:rStyle w:val="FontStyle"/>
          <w:szCs w:val="28"/>
        </w:rPr>
        <w:t xml:space="preserve"> </w:t>
      </w:r>
      <w:r w:rsidR="008743CB">
        <w:rPr>
          <w:rStyle w:val="FontStyle"/>
          <w:szCs w:val="28"/>
        </w:rPr>
        <w:t xml:space="preserve"> </w:t>
      </w:r>
    </w:p>
    <w:p w:rsidR="006C213B" w:rsidRDefault="00FA0FE0" w:rsidP="00CA301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001B8">
        <w:rPr>
          <w:sz w:val="28"/>
          <w:szCs w:val="28"/>
        </w:rPr>
        <w:t>За статтею 13 проекту «вкладом учасника товариства можуть бути гроші, цінні папери, інші речі або відчужуване майно, якщо інше не встановлено законом або статутом товариства».</w:t>
      </w:r>
      <w:r w:rsidR="00123ACE">
        <w:rPr>
          <w:sz w:val="28"/>
          <w:szCs w:val="28"/>
        </w:rPr>
        <w:t xml:space="preserve"> </w:t>
      </w:r>
    </w:p>
    <w:p w:rsidR="00123ACE" w:rsidRDefault="00123ACE" w:rsidP="00CA301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нашу думку, наведення в проекті закону переліку, який може бути зміненим статутом товариства, є некоректним. </w:t>
      </w:r>
      <w:r w:rsidR="00017EBB">
        <w:rPr>
          <w:sz w:val="28"/>
          <w:szCs w:val="28"/>
        </w:rPr>
        <w:t xml:space="preserve">Мова може йти про гроші, цінні папери, інші речі або майнові чи інші відчужувані права, що мають грошову оцінку. </w:t>
      </w:r>
    </w:p>
    <w:p w:rsidR="007B47E3" w:rsidRDefault="00017EBB" w:rsidP="00CA301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Слід також зазначити, що проектом закону вносяться зміни в частину другу статті 115 Цивільного кодексу України, за якими слова «в</w:t>
      </w:r>
      <w:r w:rsidRPr="00017EBB">
        <w:rPr>
          <w:rStyle w:val="st42"/>
          <w:sz w:val="28"/>
          <w:szCs w:val="28"/>
        </w:rPr>
        <w:t>кладом до статутного (складеного) капіталу господарського товариства</w:t>
      </w:r>
      <w:r>
        <w:rPr>
          <w:rStyle w:val="st42"/>
          <w:sz w:val="28"/>
          <w:szCs w:val="28"/>
        </w:rPr>
        <w:t>» замінюються словами «вкладом учасника господарського товариства», при цьому в проекті закону одночасно йдеться про</w:t>
      </w:r>
      <w:r w:rsidR="007B47E3">
        <w:rPr>
          <w:sz w:val="28"/>
          <w:szCs w:val="28"/>
        </w:rPr>
        <w:t xml:space="preserve"> внесення вкладу у негрошовій формі</w:t>
      </w:r>
      <w:r w:rsidR="00BF75B1">
        <w:rPr>
          <w:sz w:val="28"/>
          <w:szCs w:val="28"/>
        </w:rPr>
        <w:t xml:space="preserve"> саме до статутного капіталу, а статтями</w:t>
      </w:r>
      <w:r w:rsidR="00AA1FA5">
        <w:rPr>
          <w:sz w:val="28"/>
          <w:szCs w:val="28"/>
        </w:rPr>
        <w:t xml:space="preserve"> 16</w:t>
      </w:r>
      <w:r w:rsidR="00BF75B1">
        <w:rPr>
          <w:sz w:val="28"/>
          <w:szCs w:val="28"/>
        </w:rPr>
        <w:t xml:space="preserve">, 17 та 18 </w:t>
      </w:r>
      <w:r w:rsidR="00AA1FA5">
        <w:rPr>
          <w:sz w:val="28"/>
          <w:szCs w:val="28"/>
        </w:rPr>
        <w:t xml:space="preserve">проекту </w:t>
      </w:r>
      <w:r w:rsidR="00BF75B1">
        <w:rPr>
          <w:sz w:val="28"/>
          <w:szCs w:val="28"/>
        </w:rPr>
        <w:t xml:space="preserve">передбачається збільшення статутного капіталу за рахунок вкладів. </w:t>
      </w:r>
    </w:p>
    <w:p w:rsidR="007B47E3" w:rsidRPr="007B47E3" w:rsidRDefault="008E650C" w:rsidP="007B47E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7001B8">
        <w:rPr>
          <w:sz w:val="28"/>
          <w:szCs w:val="28"/>
        </w:rPr>
        <w:t xml:space="preserve">еручи до уваги </w:t>
      </w:r>
      <w:r>
        <w:rPr>
          <w:sz w:val="28"/>
          <w:szCs w:val="28"/>
        </w:rPr>
        <w:t xml:space="preserve">чинну </w:t>
      </w:r>
      <w:r w:rsidR="0031444D">
        <w:rPr>
          <w:sz w:val="28"/>
          <w:szCs w:val="28"/>
        </w:rPr>
        <w:t xml:space="preserve">редакцію </w:t>
      </w:r>
      <w:r w:rsidR="007B47E3">
        <w:rPr>
          <w:sz w:val="28"/>
          <w:szCs w:val="28"/>
        </w:rPr>
        <w:t>статт</w:t>
      </w:r>
      <w:r w:rsidR="0031444D">
        <w:rPr>
          <w:sz w:val="28"/>
          <w:szCs w:val="28"/>
        </w:rPr>
        <w:t>і</w:t>
      </w:r>
      <w:r w:rsidR="007B47E3">
        <w:rPr>
          <w:sz w:val="28"/>
          <w:szCs w:val="28"/>
        </w:rPr>
        <w:t xml:space="preserve"> 13 Закону України «Про господарські товариства» щодо вкладів учасників та засновників товариства до статутного капіталу, правова природа «інституту вкладу учасника товариства»</w:t>
      </w:r>
      <w:r>
        <w:rPr>
          <w:sz w:val="28"/>
          <w:szCs w:val="28"/>
        </w:rPr>
        <w:t xml:space="preserve"> потребує уточнення</w:t>
      </w:r>
      <w:r w:rsidR="0031444D">
        <w:rPr>
          <w:sz w:val="28"/>
          <w:szCs w:val="28"/>
        </w:rPr>
        <w:t>. Зазначені</w:t>
      </w:r>
      <w:r w:rsidR="007B47E3" w:rsidRPr="007B47E3">
        <w:rPr>
          <w:sz w:val="28"/>
          <w:szCs w:val="28"/>
        </w:rPr>
        <w:t xml:space="preserve"> </w:t>
      </w:r>
      <w:r w:rsidR="0031444D">
        <w:rPr>
          <w:sz w:val="28"/>
          <w:szCs w:val="28"/>
        </w:rPr>
        <w:t xml:space="preserve">положення </w:t>
      </w:r>
      <w:r w:rsidR="007B47E3" w:rsidRPr="007B47E3">
        <w:rPr>
          <w:sz w:val="28"/>
          <w:szCs w:val="28"/>
        </w:rPr>
        <w:t>не відповіда</w:t>
      </w:r>
      <w:r w:rsidR="0031444D">
        <w:rPr>
          <w:sz w:val="28"/>
          <w:szCs w:val="28"/>
        </w:rPr>
        <w:t>ють</w:t>
      </w:r>
      <w:r w:rsidR="007B47E3" w:rsidRPr="007B47E3">
        <w:rPr>
          <w:sz w:val="28"/>
          <w:szCs w:val="28"/>
        </w:rPr>
        <w:t xml:space="preserve"> вимогам щодо якості законів в контексті верховенства права, гарантованого статтею 8 Конституції України, </w:t>
      </w:r>
      <w:r w:rsidR="007B47E3" w:rsidRPr="007B47E3">
        <w:rPr>
          <w:rFonts w:eastAsia="TimesNewRomanPSMT"/>
          <w:sz w:val="28"/>
          <w:szCs w:val="28"/>
        </w:rPr>
        <w:t>зокрема його елементу «юридична визначеність», який вимагає, щоб норми були чіткими і точними та спрямованими на забезпечення того, щоб ситуації та правовідносини залишалися передбачуваними.</w:t>
      </w:r>
    </w:p>
    <w:p w:rsidR="007B47E3" w:rsidRPr="00AC79F1" w:rsidRDefault="007B47E3" w:rsidP="00AC79F1">
      <w:pPr>
        <w:pStyle w:val="a3"/>
        <w:jc w:val="both"/>
        <w:rPr>
          <w:lang w:val="uk-UA"/>
        </w:rPr>
      </w:pPr>
    </w:p>
    <w:p w:rsidR="007B47E3" w:rsidRPr="00AC79F1" w:rsidRDefault="007B47E3" w:rsidP="00AC79F1">
      <w:pPr>
        <w:pStyle w:val="a3"/>
        <w:ind w:firstLine="540"/>
        <w:jc w:val="both"/>
        <w:rPr>
          <w:lang w:val="uk-UA"/>
        </w:rPr>
      </w:pPr>
      <w:r w:rsidRPr="00AC79F1">
        <w:rPr>
          <w:lang w:val="uk-UA"/>
        </w:rPr>
        <w:t xml:space="preserve">5. </w:t>
      </w:r>
      <w:r w:rsidR="000457DA" w:rsidRPr="00AC79F1">
        <w:rPr>
          <w:lang w:val="uk-UA"/>
        </w:rPr>
        <w:t>Частин</w:t>
      </w:r>
      <w:r w:rsidR="00881F67" w:rsidRPr="00AC79F1">
        <w:rPr>
          <w:lang w:val="uk-UA"/>
        </w:rPr>
        <w:t>а</w:t>
      </w:r>
      <w:r w:rsidR="000457DA" w:rsidRPr="00AC79F1">
        <w:rPr>
          <w:lang w:val="uk-UA"/>
        </w:rPr>
        <w:t xml:space="preserve"> сьом</w:t>
      </w:r>
      <w:r w:rsidR="00881F67" w:rsidRPr="00AC79F1">
        <w:rPr>
          <w:lang w:val="uk-UA"/>
        </w:rPr>
        <w:t>а</w:t>
      </w:r>
      <w:r w:rsidR="000457DA" w:rsidRPr="00AC79F1">
        <w:rPr>
          <w:lang w:val="uk-UA"/>
        </w:rPr>
        <w:t xml:space="preserve"> статті </w:t>
      </w:r>
      <w:r w:rsidR="00881F67" w:rsidRPr="00AC79F1">
        <w:rPr>
          <w:lang w:val="uk-UA"/>
        </w:rPr>
        <w:t xml:space="preserve">20 проекту, за якою </w:t>
      </w:r>
      <w:r w:rsidR="000457DA" w:rsidRPr="00AC79F1">
        <w:rPr>
          <w:lang w:val="uk-UA"/>
        </w:rPr>
        <w:t>«невиконання вимог про внесення грошових коштів на депозитний рахунок суду є підставою для залишення позову без розгляду»</w:t>
      </w:r>
      <w:r w:rsidR="00881F67" w:rsidRPr="00AC79F1">
        <w:rPr>
          <w:lang w:val="uk-UA"/>
        </w:rPr>
        <w:t xml:space="preserve">, потребує узгодження із статтею 207 Цивільного процесуального кодексу України, якою встановлено виключний перелік підстав, за якими суд </w:t>
      </w:r>
      <w:r w:rsidR="000C5DDF" w:rsidRPr="00AC79F1">
        <w:rPr>
          <w:lang w:val="uk-UA"/>
        </w:rPr>
        <w:t xml:space="preserve">залишає позовну заяву без розгляду. </w:t>
      </w:r>
      <w:r w:rsidR="000457DA" w:rsidRPr="00AC79F1">
        <w:rPr>
          <w:lang w:val="uk-UA"/>
        </w:rPr>
        <w:t xml:space="preserve">  </w:t>
      </w:r>
    </w:p>
    <w:p w:rsidR="00AC79F1" w:rsidRDefault="00AC79F1" w:rsidP="00AC79F1">
      <w:pPr>
        <w:pStyle w:val="a3"/>
        <w:ind w:firstLine="540"/>
        <w:jc w:val="both"/>
        <w:rPr>
          <w:lang w:val="uk-UA"/>
        </w:rPr>
      </w:pPr>
    </w:p>
    <w:p w:rsidR="00AC79F1" w:rsidRDefault="000C5DDF" w:rsidP="00AC79F1">
      <w:pPr>
        <w:pStyle w:val="a3"/>
        <w:ind w:firstLine="540"/>
        <w:jc w:val="both"/>
        <w:rPr>
          <w:lang w:val="uk-UA"/>
        </w:rPr>
      </w:pPr>
      <w:r w:rsidRPr="00AC79F1">
        <w:rPr>
          <w:lang w:val="uk-UA"/>
        </w:rPr>
        <w:t xml:space="preserve">6. </w:t>
      </w:r>
      <w:r w:rsidR="006C213B" w:rsidRPr="00AC79F1">
        <w:rPr>
          <w:lang w:val="uk-UA"/>
        </w:rPr>
        <w:t xml:space="preserve"> </w:t>
      </w:r>
      <w:r w:rsidRPr="00AC79F1">
        <w:rPr>
          <w:lang w:val="uk-UA"/>
        </w:rPr>
        <w:t xml:space="preserve">Частиною третьою статті 24 проекту передбачено, що спадкоємець (правонаступник) учасника може прийняти рішення про вихід з товариства померлого або припиненого учасника. </w:t>
      </w:r>
    </w:p>
    <w:p w:rsidR="008E650C" w:rsidRDefault="008E650C" w:rsidP="00AC79F1">
      <w:pPr>
        <w:pStyle w:val="a3"/>
        <w:ind w:firstLine="540"/>
        <w:jc w:val="both"/>
        <w:rPr>
          <w:lang w:val="uk-UA"/>
        </w:rPr>
      </w:pPr>
      <w:r>
        <w:rPr>
          <w:lang w:val="uk-UA"/>
        </w:rPr>
        <w:t xml:space="preserve">Однак, з огляду на норми Цивільного кодексу України щодо спадкування зазначене положення є алогічним </w:t>
      </w:r>
      <w:r w:rsidR="007F755B">
        <w:rPr>
          <w:lang w:val="uk-UA"/>
        </w:rPr>
        <w:t xml:space="preserve">оскільки </w:t>
      </w:r>
      <w:r>
        <w:rPr>
          <w:lang w:val="uk-UA"/>
        </w:rPr>
        <w:t xml:space="preserve">спадкоємець не може розпорядитися спадщиною до її прийняття чи відмови від неї. </w:t>
      </w:r>
    </w:p>
    <w:p w:rsidR="00A733CB" w:rsidRDefault="0041360C" w:rsidP="00AC79F1">
      <w:pPr>
        <w:pStyle w:val="a3"/>
        <w:ind w:firstLine="540"/>
        <w:jc w:val="both"/>
        <w:rPr>
          <w:lang w:val="uk-UA"/>
        </w:rPr>
      </w:pPr>
      <w:r>
        <w:rPr>
          <w:lang w:val="uk-UA"/>
        </w:rPr>
        <w:lastRenderedPageBreak/>
        <w:t xml:space="preserve">7. </w:t>
      </w:r>
      <w:r w:rsidR="007F755B">
        <w:rPr>
          <w:lang w:val="uk-UA"/>
        </w:rPr>
        <w:t xml:space="preserve">Положення статті </w:t>
      </w:r>
      <w:r>
        <w:rPr>
          <w:lang w:val="uk-UA"/>
        </w:rPr>
        <w:t>25 проекту</w:t>
      </w:r>
      <w:r w:rsidR="00AA1FA5">
        <w:rPr>
          <w:lang w:val="uk-UA"/>
        </w:rPr>
        <w:t xml:space="preserve"> </w:t>
      </w:r>
      <w:r w:rsidR="007F755B">
        <w:rPr>
          <w:lang w:val="uk-UA"/>
        </w:rPr>
        <w:t>щодо н</w:t>
      </w:r>
      <w:r w:rsidR="007F755B">
        <w:rPr>
          <w:lang w:val="uk-UA"/>
        </w:rPr>
        <w:t>аслідк</w:t>
      </w:r>
      <w:r w:rsidR="007F755B">
        <w:rPr>
          <w:lang w:val="uk-UA"/>
        </w:rPr>
        <w:t>ів</w:t>
      </w:r>
      <w:r w:rsidR="007F755B">
        <w:rPr>
          <w:lang w:val="uk-UA"/>
        </w:rPr>
        <w:t xml:space="preserve"> тривалої бездіяльності спадкоємця або правонаступника учасника товариства</w:t>
      </w:r>
      <w:r w:rsidR="007F755B">
        <w:rPr>
          <w:lang w:val="uk-UA"/>
        </w:rPr>
        <w:t xml:space="preserve"> </w:t>
      </w:r>
      <w:r w:rsidR="007F755B">
        <w:rPr>
          <w:lang w:val="uk-UA"/>
        </w:rPr>
        <w:t xml:space="preserve"> </w:t>
      </w:r>
      <w:r w:rsidR="00A15B9E">
        <w:rPr>
          <w:lang w:val="uk-UA"/>
        </w:rPr>
        <w:t xml:space="preserve">потребують узгодження із </w:t>
      </w:r>
      <w:r w:rsidR="008E650C">
        <w:rPr>
          <w:lang w:val="uk-UA"/>
        </w:rPr>
        <w:t xml:space="preserve">нормами </w:t>
      </w:r>
      <w:r w:rsidR="00A733CB">
        <w:rPr>
          <w:lang w:val="uk-UA"/>
        </w:rPr>
        <w:t>Цивільного кодексу України</w:t>
      </w:r>
      <w:r w:rsidR="008E650C">
        <w:rPr>
          <w:lang w:val="uk-UA"/>
        </w:rPr>
        <w:t xml:space="preserve"> щодо спадкування, в тому числі стосовно спадкування майна. </w:t>
      </w:r>
      <w:r w:rsidR="00BF75B1">
        <w:rPr>
          <w:lang w:val="uk-UA"/>
        </w:rPr>
        <w:t xml:space="preserve">  </w:t>
      </w:r>
      <w:r w:rsidR="00A733CB">
        <w:rPr>
          <w:lang w:val="uk-UA"/>
        </w:rPr>
        <w:t xml:space="preserve"> </w:t>
      </w:r>
    </w:p>
    <w:p w:rsidR="00A733CB" w:rsidRDefault="00A733CB" w:rsidP="00AC79F1">
      <w:pPr>
        <w:pStyle w:val="a3"/>
        <w:ind w:firstLine="540"/>
        <w:jc w:val="both"/>
        <w:rPr>
          <w:lang w:val="uk-UA"/>
        </w:rPr>
      </w:pPr>
    </w:p>
    <w:p w:rsidR="00AA1FA5" w:rsidRDefault="002F1EED" w:rsidP="00AC79F1">
      <w:pPr>
        <w:pStyle w:val="a3"/>
        <w:ind w:firstLine="540"/>
        <w:jc w:val="both"/>
        <w:rPr>
          <w:lang w:val="uk-UA"/>
        </w:rPr>
      </w:pPr>
      <w:r w:rsidRPr="00AA1FA5">
        <w:t>8</w:t>
      </w:r>
      <w:r>
        <w:rPr>
          <w:lang w:val="uk-UA"/>
        </w:rPr>
        <w:t xml:space="preserve">. </w:t>
      </w:r>
      <w:r w:rsidR="00AA1FA5">
        <w:rPr>
          <w:lang w:val="uk-UA"/>
        </w:rPr>
        <w:t xml:space="preserve">Відповідно до </w:t>
      </w:r>
      <w:r w:rsidR="00A15B9E">
        <w:rPr>
          <w:lang w:val="uk-UA"/>
        </w:rPr>
        <w:t xml:space="preserve">частини третьої </w:t>
      </w:r>
      <w:r w:rsidR="00AA1FA5">
        <w:rPr>
          <w:lang w:val="uk-UA"/>
        </w:rPr>
        <w:t xml:space="preserve">статті 36 проекту загальні збори учасників проводяться шляхом спільної присутності учасників товариства в одному місці для обговорення питань порядку денного. Статутом товариства може передбачатися проведення загальних зборів учасників шляхом телеконференції, </w:t>
      </w:r>
      <w:proofErr w:type="spellStart"/>
      <w:r w:rsidR="00AA1FA5">
        <w:rPr>
          <w:lang w:val="uk-UA"/>
        </w:rPr>
        <w:t>відеоконференції</w:t>
      </w:r>
      <w:proofErr w:type="spellEnd"/>
      <w:r w:rsidR="00AA1FA5">
        <w:rPr>
          <w:lang w:val="uk-UA"/>
        </w:rPr>
        <w:t xml:space="preserve"> чи із застосуванням інших засобів електронних комунікацій, за умови, що кожен з учасників може одночасно з усіма іншими учасниками брати участь в обговоренні та голосуванні з питань, віднесених на розгляд загальних зборів. </w:t>
      </w:r>
    </w:p>
    <w:p w:rsidR="005B0F76" w:rsidRPr="005B0F76" w:rsidRDefault="005B0F76" w:rsidP="005B0F76">
      <w:pPr>
        <w:pStyle w:val="a3"/>
        <w:ind w:firstLine="540"/>
        <w:jc w:val="both"/>
        <w:rPr>
          <w:lang w:val="uk-UA"/>
        </w:rPr>
      </w:pPr>
      <w:r>
        <w:rPr>
          <w:szCs w:val="28"/>
          <w:lang w:val="uk-UA"/>
        </w:rPr>
        <w:t xml:space="preserve">У зв’язку з цим, </w:t>
      </w:r>
      <w:r w:rsidRPr="005B0F76">
        <w:rPr>
          <w:szCs w:val="28"/>
          <w:lang w:val="uk-UA"/>
        </w:rPr>
        <w:t xml:space="preserve">з метою дотримання відповідності тексту законопроекту вимогам щодо якості законів в контексті верховенства права, гарантованого статтею 8 Конституції України, </w:t>
      </w:r>
      <w:r>
        <w:rPr>
          <w:szCs w:val="28"/>
          <w:lang w:val="uk-UA"/>
        </w:rPr>
        <w:t>поняття «інші засоби електронних комунікацій» потребує уточнення</w:t>
      </w:r>
      <w:r w:rsidR="008E650C">
        <w:rPr>
          <w:szCs w:val="28"/>
          <w:lang w:val="uk-UA"/>
        </w:rPr>
        <w:t xml:space="preserve"> на предмет можливості </w:t>
      </w:r>
      <w:r w:rsidR="00124F9A">
        <w:rPr>
          <w:szCs w:val="28"/>
          <w:lang w:val="uk-UA"/>
        </w:rPr>
        <w:t xml:space="preserve">за їх допомогою підтвердження тотожності учасників та фіксації їх волевиявлення.   </w:t>
      </w:r>
      <w:r w:rsidR="008E650C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</w:p>
    <w:p w:rsidR="005B0F76" w:rsidRDefault="007F755B" w:rsidP="00AC79F1">
      <w:pPr>
        <w:pStyle w:val="a3"/>
        <w:ind w:firstLine="540"/>
        <w:jc w:val="both"/>
        <w:rPr>
          <w:lang w:val="uk-UA"/>
        </w:rPr>
      </w:pPr>
      <w:r>
        <w:rPr>
          <w:lang w:val="uk-UA"/>
        </w:rPr>
        <w:t>Крім того,</w:t>
      </w:r>
      <w:r w:rsidR="00AA1FA5">
        <w:rPr>
          <w:lang w:val="uk-UA"/>
        </w:rPr>
        <w:t xml:space="preserve"> оскільки загальні збори учасників товариства</w:t>
      </w:r>
      <w:r w:rsidR="00A15B9E">
        <w:rPr>
          <w:lang w:val="uk-UA"/>
        </w:rPr>
        <w:t xml:space="preserve"> є вищим органом товариством (стаття 32 проекту), рішення якого приймаються відкритим голосуванням, якщо інше не передбачено статутом товариства (стаття 38 проекту), </w:t>
      </w:r>
      <w:r w:rsidR="005F401D">
        <w:rPr>
          <w:lang w:val="uk-UA"/>
        </w:rPr>
        <w:t>на нашу думку, редакція частини третьої статті 36 проекту, прийнята в першому читанні,</w:t>
      </w:r>
      <w:r w:rsidR="005F401D">
        <w:rPr>
          <w:lang w:val="uk-UA"/>
        </w:rPr>
        <w:t xml:space="preserve"> </w:t>
      </w:r>
      <w:r w:rsidR="005F401D">
        <w:rPr>
          <w:lang w:val="uk-UA"/>
        </w:rPr>
        <w:t xml:space="preserve">більш </w:t>
      </w:r>
      <w:r w:rsidR="005F401D">
        <w:rPr>
          <w:lang w:val="uk-UA"/>
        </w:rPr>
        <w:t>забезпеч</w:t>
      </w:r>
      <w:r w:rsidR="005F401D">
        <w:rPr>
          <w:lang w:val="uk-UA"/>
        </w:rPr>
        <w:t xml:space="preserve">ує </w:t>
      </w:r>
      <w:r w:rsidR="005F401D">
        <w:rPr>
          <w:lang w:val="uk-UA"/>
        </w:rPr>
        <w:t>принцип відкритості голосування на загальних зборах,</w:t>
      </w:r>
      <w:r w:rsidR="005F401D">
        <w:rPr>
          <w:lang w:val="uk-UA"/>
        </w:rPr>
        <w:t xml:space="preserve"> встановлений в цьому проекті. </w:t>
      </w:r>
    </w:p>
    <w:p w:rsidR="005F401D" w:rsidRDefault="005F401D" w:rsidP="00AC79F1">
      <w:pPr>
        <w:pStyle w:val="a3"/>
        <w:ind w:firstLine="540"/>
        <w:jc w:val="both"/>
        <w:rPr>
          <w:lang w:val="uk-UA"/>
        </w:rPr>
      </w:pPr>
    </w:p>
    <w:p w:rsidR="00852144" w:rsidRDefault="005B0F76" w:rsidP="00935E9B">
      <w:pPr>
        <w:ind w:firstLine="540"/>
        <w:jc w:val="both"/>
        <w:rPr>
          <w:sz w:val="28"/>
          <w:szCs w:val="28"/>
        </w:rPr>
      </w:pPr>
      <w:r w:rsidRPr="00935E9B">
        <w:rPr>
          <w:sz w:val="28"/>
          <w:szCs w:val="28"/>
        </w:rPr>
        <w:t xml:space="preserve">9. </w:t>
      </w:r>
      <w:r w:rsidR="00935E9B" w:rsidRPr="00935E9B">
        <w:rPr>
          <w:sz w:val="28"/>
          <w:szCs w:val="28"/>
        </w:rPr>
        <w:t xml:space="preserve">Всупереч вимогам статті 116 Регламенту Верховної Ради України під час підготовки проекту до другого читання до </w:t>
      </w:r>
      <w:r w:rsidR="00852144">
        <w:rPr>
          <w:sz w:val="28"/>
          <w:szCs w:val="28"/>
        </w:rPr>
        <w:t xml:space="preserve">його </w:t>
      </w:r>
      <w:r w:rsidR="00935E9B" w:rsidRPr="00935E9B">
        <w:rPr>
          <w:sz w:val="28"/>
          <w:szCs w:val="28"/>
        </w:rPr>
        <w:t xml:space="preserve">тексту було внесено зміни, а саме до Закону України </w:t>
      </w:r>
      <w:r w:rsidR="00935E9B">
        <w:rPr>
          <w:sz w:val="28"/>
          <w:szCs w:val="28"/>
        </w:rPr>
        <w:t>«Про Кабінет Міністрів України</w:t>
      </w:r>
      <w:r w:rsidR="00935E9B" w:rsidRPr="00935E9B">
        <w:rPr>
          <w:sz w:val="28"/>
          <w:szCs w:val="28"/>
        </w:rPr>
        <w:t>», які не були предметом розгляду під час його прийняття у першому читанні, а</w:t>
      </w:r>
      <w:r w:rsidR="007F755B">
        <w:rPr>
          <w:sz w:val="28"/>
          <w:szCs w:val="28"/>
        </w:rPr>
        <w:t>,</w:t>
      </w:r>
      <w:r w:rsidR="00935E9B" w:rsidRPr="00935E9B">
        <w:rPr>
          <w:sz w:val="28"/>
          <w:szCs w:val="28"/>
        </w:rPr>
        <w:t xml:space="preserve"> відтак</w:t>
      </w:r>
      <w:r w:rsidR="007F755B">
        <w:rPr>
          <w:sz w:val="28"/>
          <w:szCs w:val="28"/>
        </w:rPr>
        <w:t>,</w:t>
      </w:r>
      <w:r w:rsidR="00935E9B" w:rsidRPr="00935E9B">
        <w:rPr>
          <w:sz w:val="28"/>
          <w:szCs w:val="28"/>
        </w:rPr>
        <w:t xml:space="preserve"> на текст зміненого проекту закону не надано висновок щодо відповідності проекту вимогам антикорупційного законодавства. </w:t>
      </w:r>
    </w:p>
    <w:p w:rsidR="00BF75B1" w:rsidRDefault="00852144" w:rsidP="00852144">
      <w:pPr>
        <w:ind w:firstLine="540"/>
        <w:jc w:val="both"/>
      </w:pPr>
      <w:r>
        <w:rPr>
          <w:sz w:val="28"/>
          <w:szCs w:val="28"/>
        </w:rPr>
        <w:t xml:space="preserve">Також зазначимо, що зміни, які вносяться проектом в Закон України «Про Кабінет Міністрів України», а саме: «Положення про міністра України, який не очолює міністерство, затверджує Кабінет Міністрів України за поданням Прем’єр-міністра України»; «Секретаріат Кабінету Міністрів України на підставі пропозицій міністерств організовує підготовку пропозицій Прем’єр-міністру України щодо пріоритетів державної політики, проектів планів дій Кабінету Міністрів України…», значно розширюють предмет регулювання проекту.  </w:t>
      </w:r>
    </w:p>
    <w:p w:rsidR="00BF75B1" w:rsidRDefault="00852144" w:rsidP="00AC79F1">
      <w:pPr>
        <w:pStyle w:val="a3"/>
        <w:ind w:firstLine="540"/>
        <w:jc w:val="both"/>
        <w:rPr>
          <w:lang w:val="uk-UA"/>
        </w:rPr>
      </w:pPr>
      <w:r>
        <w:rPr>
          <w:lang w:val="uk-UA"/>
        </w:rPr>
        <w:t>Крім того, виходять за межі проекту і не стосуються безпосередньо діяльності товариства з обмеженою та додатковою відповідальністю ряд змін й до інших законодавчих актів України</w:t>
      </w:r>
      <w:r w:rsidR="007F755B">
        <w:rPr>
          <w:lang w:val="uk-UA"/>
        </w:rPr>
        <w:t>, зокрема,</w:t>
      </w:r>
      <w:r>
        <w:rPr>
          <w:lang w:val="uk-UA"/>
        </w:rPr>
        <w:t xml:space="preserve"> </w:t>
      </w:r>
      <w:r w:rsidR="000865FC">
        <w:rPr>
          <w:lang w:val="uk-UA"/>
        </w:rPr>
        <w:t xml:space="preserve">частково до Господарського та Цивільного кодексів України, до Закону України «Про державну реєстрацію юридичних осіб, фізичних осіб – підприємців та громадських формувань», статті 6 Закону України «Про державну охорону органів державної влади України та посадових осіб».  </w:t>
      </w:r>
    </w:p>
    <w:p w:rsidR="006C213B" w:rsidRPr="005B0071" w:rsidRDefault="006C213B" w:rsidP="006C213B">
      <w:pPr>
        <w:pStyle w:val="a3"/>
        <w:ind w:firstLine="708"/>
        <w:jc w:val="both"/>
        <w:rPr>
          <w:lang w:val="uk-UA" w:eastAsia="ru-RU"/>
        </w:rPr>
      </w:pPr>
      <w:r w:rsidRPr="005B0071">
        <w:rPr>
          <w:lang w:val="uk-UA" w:eastAsia="ru-RU"/>
        </w:rPr>
        <w:lastRenderedPageBreak/>
        <w:t>Отже, на нашу думку, з метою дотримання відповідності тексту законопроекту вимогам щодо якості законів в контексті верховенства права, гарантованого статтею 8</w:t>
      </w:r>
      <w:r>
        <w:rPr>
          <w:lang w:val="uk-UA" w:eastAsia="ru-RU"/>
        </w:rPr>
        <w:t xml:space="preserve"> Конституції України, зміни до відповідних законів України, які </w:t>
      </w:r>
      <w:r w:rsidR="0041160B">
        <w:rPr>
          <w:lang w:val="uk-UA" w:eastAsia="ru-RU"/>
        </w:rPr>
        <w:t>не стосуються сфери застосування проекту Закону України «Про товариства з обмеженою та додатковою відповідальністю»</w:t>
      </w:r>
      <w:r>
        <w:rPr>
          <w:lang w:val="uk-UA" w:eastAsia="ru-RU"/>
        </w:rPr>
        <w:t xml:space="preserve">, </w:t>
      </w:r>
      <w:r w:rsidRPr="005B0071">
        <w:rPr>
          <w:lang w:val="uk-UA" w:eastAsia="ru-RU"/>
        </w:rPr>
        <w:t xml:space="preserve">слід було б виключити із тексту проекту.  </w:t>
      </w:r>
    </w:p>
    <w:p w:rsidR="006C213B" w:rsidRDefault="006C213B" w:rsidP="008743CB">
      <w:pPr>
        <w:ind w:firstLine="540"/>
        <w:jc w:val="both"/>
        <w:rPr>
          <w:sz w:val="28"/>
          <w:szCs w:val="28"/>
        </w:rPr>
      </w:pPr>
    </w:p>
    <w:p w:rsidR="008743CB" w:rsidRDefault="008743CB" w:rsidP="008743C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потребує техніко-юридичного доопрацювання.</w:t>
      </w:r>
      <w:r w:rsidR="000632D0">
        <w:rPr>
          <w:sz w:val="28"/>
          <w:szCs w:val="28"/>
        </w:rPr>
        <w:t xml:space="preserve"> Зокрема, в частині розкриття змісту оціночних понять, наприклад, «діяти розумно» (стаття 44 проекту). </w:t>
      </w:r>
    </w:p>
    <w:p w:rsidR="008743CB" w:rsidRDefault="008743CB" w:rsidP="008743CB">
      <w:pPr>
        <w:ind w:firstLine="708"/>
        <w:jc w:val="both"/>
        <w:rPr>
          <w:sz w:val="28"/>
          <w:szCs w:val="28"/>
        </w:rPr>
      </w:pPr>
    </w:p>
    <w:p w:rsidR="008743CB" w:rsidRDefault="008743CB" w:rsidP="008743CB">
      <w:pPr>
        <w:ind w:firstLine="540"/>
        <w:jc w:val="both"/>
      </w:pPr>
      <w:r>
        <w:tab/>
      </w:r>
    </w:p>
    <w:p w:rsidR="008743CB" w:rsidRDefault="008743CB" w:rsidP="008743CB">
      <w:pPr>
        <w:tabs>
          <w:tab w:val="left" w:pos="0"/>
        </w:tabs>
        <w:jc w:val="both"/>
      </w:pPr>
      <w:r>
        <w:rPr>
          <w:b/>
          <w:sz w:val="28"/>
          <w:szCs w:val="28"/>
        </w:rPr>
        <w:tab/>
      </w:r>
    </w:p>
    <w:p w:rsidR="008743CB" w:rsidRDefault="008743CB" w:rsidP="008743C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Заступник керівника</w:t>
      </w:r>
    </w:p>
    <w:p w:rsidR="008743CB" w:rsidRDefault="008743CB" w:rsidP="008743CB">
      <w:pPr>
        <w:rPr>
          <w:lang w:val="ru-RU"/>
        </w:rPr>
      </w:pPr>
      <w:r>
        <w:rPr>
          <w:b/>
          <w:bCs/>
          <w:sz w:val="28"/>
          <w:szCs w:val="28"/>
        </w:rPr>
        <w:t xml:space="preserve">Головного управління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В.</w:t>
      </w:r>
      <w:r w:rsidR="00124F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МІЛОВАНОВ</w:t>
      </w:r>
    </w:p>
    <w:p w:rsidR="008743CB" w:rsidRPr="00B95649" w:rsidRDefault="008743CB" w:rsidP="008743CB">
      <w:pPr>
        <w:rPr>
          <w:lang w:val="ru-RU"/>
        </w:rPr>
      </w:pPr>
    </w:p>
    <w:p w:rsidR="00B60FCA" w:rsidRPr="008743CB" w:rsidRDefault="00B60FCA">
      <w:pPr>
        <w:rPr>
          <w:lang w:val="ru-RU"/>
        </w:rPr>
      </w:pPr>
    </w:p>
    <w:sectPr w:rsidR="00B60FCA" w:rsidRPr="008743CB" w:rsidSect="00AC79F1">
      <w:footerReference w:type="default" r:id="rId6"/>
      <w:pgSz w:w="11906" w:h="16838"/>
      <w:pgMar w:top="850" w:right="850" w:bottom="8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9F1" w:rsidRDefault="00AC79F1" w:rsidP="00AC79F1">
      <w:r>
        <w:separator/>
      </w:r>
    </w:p>
  </w:endnote>
  <w:endnote w:type="continuationSeparator" w:id="0">
    <w:p w:rsidR="00AC79F1" w:rsidRDefault="00AC79F1" w:rsidP="00AC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Arial Unicode MS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7752517"/>
      <w:docPartObj>
        <w:docPartGallery w:val="Page Numbers (Bottom of Page)"/>
        <w:docPartUnique/>
      </w:docPartObj>
    </w:sdtPr>
    <w:sdtContent>
      <w:p w:rsidR="00AC79F1" w:rsidRDefault="00AC79F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7DE">
          <w:rPr>
            <w:noProof/>
          </w:rPr>
          <w:t>4</w:t>
        </w:r>
        <w:r>
          <w:fldChar w:fldCharType="end"/>
        </w:r>
      </w:p>
    </w:sdtContent>
  </w:sdt>
  <w:p w:rsidR="00AC79F1" w:rsidRDefault="00AC79F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9F1" w:rsidRDefault="00AC79F1" w:rsidP="00AC79F1">
      <w:r>
        <w:separator/>
      </w:r>
    </w:p>
  </w:footnote>
  <w:footnote w:type="continuationSeparator" w:id="0">
    <w:p w:rsidR="00AC79F1" w:rsidRDefault="00AC79F1" w:rsidP="00AC79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CB"/>
    <w:rsid w:val="00017EBB"/>
    <w:rsid w:val="000457DA"/>
    <w:rsid w:val="000632D0"/>
    <w:rsid w:val="000865FC"/>
    <w:rsid w:val="000C5DDF"/>
    <w:rsid w:val="00123ACE"/>
    <w:rsid w:val="00124F9A"/>
    <w:rsid w:val="002F1EED"/>
    <w:rsid w:val="0031444D"/>
    <w:rsid w:val="003372F9"/>
    <w:rsid w:val="003560F5"/>
    <w:rsid w:val="0041160B"/>
    <w:rsid w:val="0041360C"/>
    <w:rsid w:val="00420527"/>
    <w:rsid w:val="00464A20"/>
    <w:rsid w:val="005727DE"/>
    <w:rsid w:val="005B0F76"/>
    <w:rsid w:val="005F401D"/>
    <w:rsid w:val="006B0FA0"/>
    <w:rsid w:val="006C213B"/>
    <w:rsid w:val="006C78C3"/>
    <w:rsid w:val="007001B8"/>
    <w:rsid w:val="007B47E3"/>
    <w:rsid w:val="007F755B"/>
    <w:rsid w:val="00852144"/>
    <w:rsid w:val="008743CB"/>
    <w:rsid w:val="00881F67"/>
    <w:rsid w:val="008E650C"/>
    <w:rsid w:val="009046DD"/>
    <w:rsid w:val="0090747E"/>
    <w:rsid w:val="009269D3"/>
    <w:rsid w:val="00935E9B"/>
    <w:rsid w:val="00A15B9E"/>
    <w:rsid w:val="00A733CB"/>
    <w:rsid w:val="00A77F60"/>
    <w:rsid w:val="00AA1FA5"/>
    <w:rsid w:val="00AC79F1"/>
    <w:rsid w:val="00B60FCA"/>
    <w:rsid w:val="00BF75B1"/>
    <w:rsid w:val="00CA3017"/>
    <w:rsid w:val="00D200F7"/>
    <w:rsid w:val="00D713C1"/>
    <w:rsid w:val="00FA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9F510"/>
  <w15:chartTrackingRefBased/>
  <w15:docId w15:val="{918BB91A-114F-40D4-9BBD-B71D956D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3CB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8743CB"/>
    <w:rPr>
      <w:color w:val="000000"/>
      <w:sz w:val="28"/>
    </w:rPr>
  </w:style>
  <w:style w:type="paragraph" w:styleId="a3">
    <w:name w:val="No Spacing"/>
    <w:uiPriority w:val="99"/>
    <w:qFormat/>
    <w:rsid w:val="006C213B"/>
    <w:pPr>
      <w:spacing w:after="0"/>
      <w:jc w:val="left"/>
    </w:pPr>
    <w:rPr>
      <w:rFonts w:eastAsia="Calibri" w:cs="Times New Roman"/>
      <w:lang w:val="ru-RU"/>
    </w:rPr>
  </w:style>
  <w:style w:type="character" w:customStyle="1" w:styleId="st42">
    <w:name w:val="st42"/>
    <w:uiPriority w:val="99"/>
    <w:rsid w:val="006B0FA0"/>
    <w:rPr>
      <w:rFonts w:ascii="Times New Roman" w:hAnsi="Times New Roman" w:cs="Times New Roman"/>
      <w:color w:val="000000"/>
    </w:rPr>
  </w:style>
  <w:style w:type="paragraph" w:styleId="a4">
    <w:name w:val="List Paragraph"/>
    <w:basedOn w:val="a"/>
    <w:uiPriority w:val="34"/>
    <w:qFormat/>
    <w:rsid w:val="006B0FA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79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C79F1"/>
    <w:rPr>
      <w:rFonts w:eastAsia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C79F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C79F1"/>
    <w:rPr>
      <w:rFonts w:eastAsia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1160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116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5201</Words>
  <Characters>2966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2</cp:revision>
  <cp:lastPrinted>2017-04-12T14:50:00Z</cp:lastPrinted>
  <dcterms:created xsi:type="dcterms:W3CDTF">2017-04-12T14:52:00Z</dcterms:created>
  <dcterms:modified xsi:type="dcterms:W3CDTF">2017-04-12T14:52:00Z</dcterms:modified>
</cp:coreProperties>
</file>