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D98" w:rsidRPr="00393D98" w:rsidRDefault="00393D98" w:rsidP="00393D98">
      <w:pPr>
        <w:ind w:left="5670"/>
        <w:jc w:val="center"/>
        <w:rPr>
          <w:sz w:val="20"/>
          <w:szCs w:val="20"/>
        </w:rPr>
      </w:pPr>
      <w:r w:rsidRPr="00393D98">
        <w:rPr>
          <w:sz w:val="20"/>
          <w:szCs w:val="20"/>
        </w:rPr>
        <w:t>До реєстр. № </w:t>
      </w:r>
      <w:r w:rsidRPr="00393D98">
        <w:rPr>
          <w:sz w:val="20"/>
          <w:szCs w:val="20"/>
        </w:rPr>
        <w:t>4724</w:t>
      </w:r>
      <w:r w:rsidRPr="00393D98">
        <w:rPr>
          <w:sz w:val="20"/>
          <w:szCs w:val="20"/>
        </w:rPr>
        <w:t xml:space="preserve"> від </w:t>
      </w:r>
      <w:r w:rsidRPr="00393D98">
        <w:rPr>
          <w:sz w:val="20"/>
          <w:szCs w:val="20"/>
        </w:rPr>
        <w:t>27</w:t>
      </w:r>
      <w:r w:rsidRPr="00393D98">
        <w:rPr>
          <w:sz w:val="20"/>
          <w:szCs w:val="20"/>
        </w:rPr>
        <w:t>.0</w:t>
      </w:r>
      <w:r w:rsidRPr="00393D98">
        <w:rPr>
          <w:sz w:val="20"/>
          <w:szCs w:val="20"/>
        </w:rPr>
        <w:t>5</w:t>
      </w:r>
      <w:r w:rsidRPr="00393D98">
        <w:rPr>
          <w:sz w:val="20"/>
          <w:szCs w:val="20"/>
        </w:rPr>
        <w:t>.2016</w:t>
      </w:r>
      <w:r w:rsidRPr="00393D98">
        <w:rPr>
          <w:sz w:val="20"/>
          <w:szCs w:val="20"/>
        </w:rPr>
        <w:br/>
        <w:t>(друге читання)</w:t>
      </w:r>
    </w:p>
    <w:p w:rsidR="00393D98" w:rsidRPr="00393D98" w:rsidRDefault="00393D98" w:rsidP="00393D98">
      <w:pPr>
        <w:jc w:val="center"/>
      </w:pPr>
    </w:p>
    <w:p w:rsidR="00393D98" w:rsidRPr="00393D98" w:rsidRDefault="00393D98" w:rsidP="00393D98">
      <w:pPr>
        <w:jc w:val="center"/>
      </w:pPr>
    </w:p>
    <w:p w:rsidR="00393D98" w:rsidRPr="00393D98" w:rsidRDefault="00393D98" w:rsidP="00393D98">
      <w:pPr>
        <w:jc w:val="center"/>
      </w:pPr>
    </w:p>
    <w:p w:rsidR="00393D98" w:rsidRPr="00393D98" w:rsidRDefault="00393D98" w:rsidP="00393D98">
      <w:pPr>
        <w:jc w:val="center"/>
      </w:pPr>
    </w:p>
    <w:p w:rsidR="00393D98" w:rsidRPr="00393D98" w:rsidRDefault="00393D98" w:rsidP="00393D98">
      <w:pPr>
        <w:jc w:val="center"/>
      </w:pPr>
    </w:p>
    <w:p w:rsidR="00393D98" w:rsidRPr="00393D98" w:rsidRDefault="00393D98" w:rsidP="00393D98">
      <w:pPr>
        <w:jc w:val="center"/>
      </w:pPr>
    </w:p>
    <w:p w:rsidR="00393D98" w:rsidRPr="00393D98" w:rsidRDefault="00393D98" w:rsidP="00393D98">
      <w:pPr>
        <w:jc w:val="center"/>
      </w:pPr>
    </w:p>
    <w:p w:rsidR="00393D98" w:rsidRDefault="00393D98" w:rsidP="00393D98">
      <w:pPr>
        <w:jc w:val="center"/>
      </w:pPr>
    </w:p>
    <w:p w:rsidR="00D870C5" w:rsidRPr="00393D98" w:rsidRDefault="00D870C5" w:rsidP="00393D98">
      <w:pPr>
        <w:jc w:val="center"/>
      </w:pPr>
    </w:p>
    <w:p w:rsidR="00393D98" w:rsidRPr="00393D98" w:rsidRDefault="00393D98" w:rsidP="00393D98">
      <w:pPr>
        <w:spacing w:after="60"/>
        <w:ind w:right="85"/>
        <w:jc w:val="center"/>
        <w:rPr>
          <w:b/>
        </w:rPr>
      </w:pPr>
      <w:r w:rsidRPr="00393D98">
        <w:rPr>
          <w:b/>
        </w:rPr>
        <w:t>ЗАУВАЖЕННЯ</w:t>
      </w:r>
    </w:p>
    <w:p w:rsidR="00C22DCF" w:rsidRPr="00393D98" w:rsidRDefault="00393D98" w:rsidP="00393D98">
      <w:pPr>
        <w:pStyle w:val="a5"/>
        <w:jc w:val="center"/>
        <w:rPr>
          <w:lang w:val="uk-UA"/>
        </w:rPr>
      </w:pPr>
      <w:r w:rsidRPr="00393D98">
        <w:rPr>
          <w:lang w:val="uk-UA"/>
        </w:rPr>
        <w:t xml:space="preserve">до проекту Закону України про </w:t>
      </w:r>
      <w:r w:rsidR="00C22DCF" w:rsidRPr="00393D98">
        <w:rPr>
          <w:lang w:val="uk-UA"/>
        </w:rPr>
        <w:t>антидопінговий контроль у спорті (реєстраційний № 4724)</w:t>
      </w:r>
    </w:p>
    <w:p w:rsidR="009B247B" w:rsidRPr="00393D98" w:rsidRDefault="009B247B" w:rsidP="009B247B">
      <w:pPr>
        <w:rPr>
          <w:b/>
        </w:rPr>
      </w:pPr>
    </w:p>
    <w:p w:rsidR="007F2597" w:rsidRPr="00393D98" w:rsidRDefault="007F2597" w:rsidP="007F2597">
      <w:pPr>
        <w:ind w:firstLine="709"/>
        <w:jc w:val="both"/>
      </w:pPr>
      <w:r w:rsidRPr="00393D98">
        <w:t xml:space="preserve">У Головному юридичному управлінні </w:t>
      </w:r>
      <w:r w:rsidR="00393D98">
        <w:t>розглянуто зазначений законопроект</w:t>
      </w:r>
      <w:r w:rsidRPr="00393D98">
        <w:t xml:space="preserve"> підготовлений </w:t>
      </w:r>
      <w:r w:rsidRPr="00393D98">
        <w:rPr>
          <w:color w:val="000000"/>
        </w:rPr>
        <w:t xml:space="preserve">Комітетом з питань сім’ї, молодіжної політики, спорту та туризму </w:t>
      </w:r>
      <w:r w:rsidRPr="00393D98">
        <w:t>до другого читання, та висловлюються такі зауваження.</w:t>
      </w:r>
    </w:p>
    <w:p w:rsidR="00421083" w:rsidRPr="00037A18" w:rsidRDefault="00421083" w:rsidP="003052BF">
      <w:pPr>
        <w:ind w:firstLine="709"/>
        <w:jc w:val="both"/>
        <w:rPr>
          <w:sz w:val="12"/>
          <w:szCs w:val="12"/>
        </w:rPr>
      </w:pPr>
    </w:p>
    <w:p w:rsidR="003052BF" w:rsidRPr="00393D98" w:rsidRDefault="00421083" w:rsidP="003052BF">
      <w:pPr>
        <w:ind w:firstLine="709"/>
        <w:jc w:val="both"/>
      </w:pPr>
      <w:r>
        <w:t>1. </w:t>
      </w:r>
      <w:r w:rsidR="0055397F" w:rsidRPr="00393D98">
        <w:t>Відповідно до преамбули законопроекту «цей Закон визначає правові та організаційні засади здійснення антидопінгового контролю в Україні, участі відповідних закладів, установ та організацій у профілактиці, запобіганні застосуванню та поширенню допінгу у спорті». Однак, законопроектом створюються дві організації – державна установа Національний антидопінговий центр та публічне акціонерне товариство «Національна антидопінгова лабораторія», визначаються їх повноваження, а також започатковується робота «Наглядової ради антидопінгового контролю», яка здійснюватиме нагляд за вказаними організаціями.</w:t>
      </w:r>
    </w:p>
    <w:p w:rsidR="003052BF" w:rsidRPr="00393D98" w:rsidRDefault="00376393" w:rsidP="00376393">
      <w:pPr>
        <w:ind w:firstLine="720"/>
        <w:jc w:val="both"/>
        <w:rPr>
          <w:rStyle w:val="st42"/>
          <w:color w:val="auto"/>
        </w:rPr>
      </w:pPr>
      <w:r w:rsidRPr="00393D98">
        <w:t xml:space="preserve">Запропоноване має ознаки акту </w:t>
      </w:r>
      <w:r w:rsidRPr="00393D98">
        <w:rPr>
          <w:color w:val="000000"/>
        </w:rPr>
        <w:t xml:space="preserve">організаційно-розпорядчого характеру, </w:t>
      </w:r>
      <w:r w:rsidR="00C22DCF" w:rsidRPr="00393D98">
        <w:rPr>
          <w:color w:val="000000"/>
        </w:rPr>
        <w:t>можливість прийняття якого парламентом</w:t>
      </w:r>
      <w:r w:rsidRPr="00393D98">
        <w:rPr>
          <w:color w:val="000000"/>
        </w:rPr>
        <w:t xml:space="preserve"> </w:t>
      </w:r>
      <w:r w:rsidR="003052BF" w:rsidRPr="00393D98">
        <w:rPr>
          <w:color w:val="000000"/>
        </w:rPr>
        <w:t xml:space="preserve">не випливає із конституційних повноважень Верховної Ради України (частина друга статті 85 Основного Закону України) та </w:t>
      </w:r>
      <w:r w:rsidR="00C22DCF" w:rsidRPr="00393D98">
        <w:rPr>
          <w:color w:val="000000"/>
        </w:rPr>
        <w:t xml:space="preserve">водночас </w:t>
      </w:r>
      <w:r w:rsidR="003052BF" w:rsidRPr="00393D98">
        <w:rPr>
          <w:color w:val="000000"/>
        </w:rPr>
        <w:t xml:space="preserve">не </w:t>
      </w:r>
      <w:r w:rsidR="00C22DCF" w:rsidRPr="00393D98">
        <w:rPr>
          <w:color w:val="000000"/>
        </w:rPr>
        <w:t>враховує</w:t>
      </w:r>
      <w:r w:rsidR="003052BF" w:rsidRPr="00393D98">
        <w:rPr>
          <w:color w:val="000000"/>
        </w:rPr>
        <w:t xml:space="preserve"> вимог статті 116 Конституції України в частині повноважень Кабінету Міністрів України у </w:t>
      </w:r>
      <w:r w:rsidR="003052BF" w:rsidRPr="00393D98">
        <w:rPr>
          <w:rStyle w:val="st42"/>
        </w:rPr>
        <w:t>здійсненні управління об'єктами державної власності.</w:t>
      </w:r>
    </w:p>
    <w:p w:rsidR="003052BF" w:rsidRPr="00393D98" w:rsidRDefault="000D5ACE" w:rsidP="003052BF">
      <w:pPr>
        <w:ind w:firstLine="720"/>
        <w:jc w:val="both"/>
        <w:rPr>
          <w:color w:val="000000"/>
        </w:rPr>
      </w:pPr>
      <w:r w:rsidRPr="00393D98">
        <w:rPr>
          <w:color w:val="000000"/>
        </w:rPr>
        <w:t>У</w:t>
      </w:r>
      <w:r w:rsidR="003052BF" w:rsidRPr="00393D98">
        <w:rPr>
          <w:color w:val="000000"/>
        </w:rPr>
        <w:t xml:space="preserve"> разі прийняття</w:t>
      </w:r>
      <w:r w:rsidR="00376393" w:rsidRPr="00393D98">
        <w:rPr>
          <w:color w:val="000000"/>
        </w:rPr>
        <w:t xml:space="preserve"> цього законопроекту як Закону можливі </w:t>
      </w:r>
      <w:r w:rsidR="003052BF" w:rsidRPr="00393D98">
        <w:rPr>
          <w:color w:val="000000"/>
        </w:rPr>
        <w:t>колізі</w:t>
      </w:r>
      <w:r w:rsidR="00376393" w:rsidRPr="00393D98">
        <w:rPr>
          <w:color w:val="000000"/>
        </w:rPr>
        <w:t>ї</w:t>
      </w:r>
      <w:r w:rsidR="003052BF" w:rsidRPr="00393D98">
        <w:rPr>
          <w:color w:val="000000"/>
        </w:rPr>
        <w:t xml:space="preserve"> із законами України </w:t>
      </w:r>
      <w:r w:rsidRPr="00393D98">
        <w:rPr>
          <w:color w:val="000000"/>
        </w:rPr>
        <w:t>«Про Кабінет Міністрів України»</w:t>
      </w:r>
      <w:r w:rsidR="00B40BE8">
        <w:rPr>
          <w:color w:val="000000"/>
        </w:rPr>
        <w:t xml:space="preserve">, </w:t>
      </w:r>
      <w:r w:rsidR="003052BF" w:rsidRPr="00393D98">
        <w:rPr>
          <w:color w:val="000000"/>
        </w:rPr>
        <w:t xml:space="preserve">«Про управління </w:t>
      </w:r>
      <w:r w:rsidRPr="00393D98">
        <w:rPr>
          <w:color w:val="000000"/>
        </w:rPr>
        <w:t>об’єктами державної власності»</w:t>
      </w:r>
      <w:r w:rsidR="00B40BE8">
        <w:rPr>
          <w:color w:val="000000"/>
        </w:rPr>
        <w:t xml:space="preserve"> та «Про акціонерні товариства»</w:t>
      </w:r>
      <w:r w:rsidRPr="00393D98">
        <w:rPr>
          <w:color w:val="000000"/>
        </w:rPr>
        <w:t>, які</w:t>
      </w:r>
      <w:r w:rsidR="003052BF" w:rsidRPr="00393D98">
        <w:rPr>
          <w:color w:val="000000"/>
        </w:rPr>
        <w:t xml:space="preserve"> у конституційний спосіб уже визнач</w:t>
      </w:r>
      <w:r w:rsidRPr="00393D98">
        <w:rPr>
          <w:color w:val="000000"/>
        </w:rPr>
        <w:t>или</w:t>
      </w:r>
      <w:r w:rsidR="003052BF" w:rsidRPr="00393D98">
        <w:rPr>
          <w:color w:val="000000"/>
        </w:rPr>
        <w:t xml:space="preserve"> порядок реалізації повноважень Кабінетом Міністрів України щодо управління державним майном, у тому числі при створенні державних підприємств, установ та організацій. </w:t>
      </w:r>
    </w:p>
    <w:p w:rsidR="003052BF" w:rsidRPr="00393D98" w:rsidRDefault="00C22DCF" w:rsidP="003052BF">
      <w:pPr>
        <w:ind w:firstLine="720"/>
        <w:jc w:val="both"/>
        <w:rPr>
          <w:color w:val="000000"/>
        </w:rPr>
      </w:pPr>
      <w:r w:rsidRPr="00393D98">
        <w:rPr>
          <w:color w:val="000000"/>
        </w:rPr>
        <w:t>За такого законодавчого підходу</w:t>
      </w:r>
      <w:r w:rsidR="003052BF" w:rsidRPr="00393D98">
        <w:rPr>
          <w:color w:val="000000"/>
        </w:rPr>
        <w:t xml:space="preserve"> створюються обставини, що містять ознаки втручання Верховної Ради України у компетенцію Уряду України, що не відповідає приписам статей 6 та 19 Конституції України, а також правовій позиції Конституційного Суду України, згідно з якою неухильне додержання органами державної влади Конституції та законів України забезпечує реалізацію принципу поділу влади, є запорукою їх єдності та важливою </w:t>
      </w:r>
      <w:r w:rsidR="003052BF" w:rsidRPr="00393D98">
        <w:rPr>
          <w:color w:val="000000"/>
        </w:rPr>
        <w:lastRenderedPageBreak/>
        <w:t>передумовою стабільності і злагоди в державі (рішення від 2 березня 1999 року № 2-рп/99, від 1 квітня 2008 року №</w:t>
      </w:r>
      <w:r w:rsidR="00376393" w:rsidRPr="00393D98">
        <w:rPr>
          <w:color w:val="000000"/>
        </w:rPr>
        <w:t> </w:t>
      </w:r>
      <w:r w:rsidR="003052BF" w:rsidRPr="00393D98">
        <w:rPr>
          <w:color w:val="000000"/>
        </w:rPr>
        <w:t>4-рп/2008, від 8 вересня 2009 року №</w:t>
      </w:r>
      <w:r w:rsidR="00376393" w:rsidRPr="00393D98">
        <w:rPr>
          <w:color w:val="000000"/>
        </w:rPr>
        <w:t> </w:t>
      </w:r>
      <w:r w:rsidR="003052BF" w:rsidRPr="00393D98">
        <w:rPr>
          <w:color w:val="000000"/>
        </w:rPr>
        <w:t>19-рп/2009, від 11 березня 2011 року №</w:t>
      </w:r>
      <w:r w:rsidR="00376393" w:rsidRPr="00393D98">
        <w:rPr>
          <w:color w:val="000000"/>
        </w:rPr>
        <w:t> </w:t>
      </w:r>
      <w:r w:rsidR="003052BF" w:rsidRPr="00393D98">
        <w:rPr>
          <w:color w:val="000000"/>
        </w:rPr>
        <w:t>2-рп/2011).</w:t>
      </w:r>
    </w:p>
    <w:p w:rsidR="003052BF" w:rsidRPr="00037A18" w:rsidRDefault="003052BF" w:rsidP="003052BF">
      <w:pPr>
        <w:ind w:firstLine="709"/>
        <w:jc w:val="both"/>
        <w:rPr>
          <w:sz w:val="12"/>
          <w:szCs w:val="12"/>
        </w:rPr>
      </w:pPr>
    </w:p>
    <w:p w:rsidR="00421083" w:rsidRDefault="00421083" w:rsidP="00421083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2. Статтею 5 законопроекту пропонується визначити, що «нагляд за діяльністю </w:t>
      </w:r>
      <w:r w:rsidRPr="00393D98">
        <w:rPr>
          <w:color w:val="000000"/>
        </w:rPr>
        <w:t>Національного антидопінгового центру</w:t>
      </w:r>
      <w:r w:rsidRPr="00393D98">
        <w:rPr>
          <w:color w:val="000000"/>
        </w:rPr>
        <w:t xml:space="preserve"> </w:t>
      </w:r>
      <w:r>
        <w:rPr>
          <w:color w:val="000000"/>
        </w:rPr>
        <w:t xml:space="preserve">та </w:t>
      </w:r>
      <w:r w:rsidRPr="00393D98">
        <w:rPr>
          <w:color w:val="000000"/>
        </w:rPr>
        <w:t xml:space="preserve">Національної антидопінгової лабораторії </w:t>
      </w:r>
      <w:r>
        <w:rPr>
          <w:color w:val="000000"/>
        </w:rPr>
        <w:t xml:space="preserve">здійснює </w:t>
      </w:r>
      <w:r w:rsidRPr="00393D98">
        <w:rPr>
          <w:color w:val="000000"/>
        </w:rPr>
        <w:t>Наглядова рада антидопінгового контролю</w:t>
      </w:r>
      <w:r>
        <w:rPr>
          <w:color w:val="000000"/>
        </w:rPr>
        <w:t xml:space="preserve">, що діє в межах повноважень, визначених цим Законом» а також визначаються її повноваження. До таких повноважень законопроектом пропонується віднести обрання директорів вказаних установ та укладення з ними контрактів. Затвердження штатного розкладу </w:t>
      </w:r>
      <w:r w:rsidRPr="00393D98">
        <w:rPr>
          <w:color w:val="000000"/>
        </w:rPr>
        <w:t>Національної антидопінгової лабораторії</w:t>
      </w:r>
      <w:r>
        <w:rPr>
          <w:color w:val="000000"/>
        </w:rPr>
        <w:t xml:space="preserve"> та встановлення умов та розмірів оплати праці її працівників, затвердження щорічних звітів про діяльність </w:t>
      </w:r>
      <w:r w:rsidRPr="00393D98">
        <w:rPr>
          <w:color w:val="000000"/>
        </w:rPr>
        <w:t xml:space="preserve">Національного антидопінгового центру </w:t>
      </w:r>
      <w:r>
        <w:rPr>
          <w:color w:val="000000"/>
        </w:rPr>
        <w:t xml:space="preserve">та </w:t>
      </w:r>
      <w:r w:rsidRPr="00393D98">
        <w:rPr>
          <w:color w:val="000000"/>
        </w:rPr>
        <w:t>Національної антидопінгової лабораторії</w:t>
      </w:r>
      <w:r>
        <w:rPr>
          <w:color w:val="000000"/>
        </w:rPr>
        <w:t>. Зазначені повноваження притаманні суб’єкту управління, а не органу, правовою природою якого є здійснення наглядових та контрольних функцій.</w:t>
      </w:r>
    </w:p>
    <w:p w:rsidR="0015692E" w:rsidRPr="00393D98" w:rsidRDefault="00421083" w:rsidP="00421083">
      <w:pPr>
        <w:ind w:firstLine="708"/>
        <w:jc w:val="both"/>
      </w:pPr>
      <w:r>
        <w:rPr>
          <w:color w:val="000000"/>
        </w:rPr>
        <w:t xml:space="preserve">Відтак </w:t>
      </w:r>
      <w:r w:rsidR="007F2597" w:rsidRPr="00393D98">
        <w:t>запропоновані положення</w:t>
      </w:r>
      <w:r w:rsidR="003052BF" w:rsidRPr="00393D98">
        <w:rPr>
          <w:color w:val="000000"/>
        </w:rPr>
        <w:t xml:space="preserve"> нівелю</w:t>
      </w:r>
      <w:r w:rsidR="007F2597" w:rsidRPr="00393D98">
        <w:rPr>
          <w:color w:val="000000"/>
        </w:rPr>
        <w:t>ють</w:t>
      </w:r>
      <w:r w:rsidR="003052BF" w:rsidRPr="00393D98">
        <w:rPr>
          <w:color w:val="000000"/>
        </w:rPr>
        <w:t xml:space="preserve"> права органу управління, встановлені статтею 6 Закону України «Про управління об’єктами державної власності» та статтею 8 Закону України «Про центральні органи виконавчої влади»</w:t>
      </w:r>
      <w:r w:rsidR="0015692E" w:rsidRPr="00393D98">
        <w:rPr>
          <w:color w:val="000000"/>
        </w:rPr>
        <w:t>.</w:t>
      </w:r>
    </w:p>
    <w:p w:rsidR="003052BF" w:rsidRPr="00037A18" w:rsidRDefault="003052BF" w:rsidP="003052BF">
      <w:pPr>
        <w:ind w:firstLine="720"/>
        <w:jc w:val="both"/>
        <w:rPr>
          <w:sz w:val="12"/>
          <w:szCs w:val="12"/>
        </w:rPr>
      </w:pPr>
    </w:p>
    <w:p w:rsidR="00171D52" w:rsidRPr="00393D98" w:rsidRDefault="00421083" w:rsidP="00171D52">
      <w:pPr>
        <w:ind w:firstLine="709"/>
        <w:jc w:val="both"/>
      </w:pPr>
      <w:r>
        <w:t>3. </w:t>
      </w:r>
      <w:r w:rsidR="00171D52" w:rsidRPr="00393D98">
        <w:t>Статтею 6 законопроекту визначається склад Наглядової ради антидопінгового контролю та передбачається, що до її складу входить «народний депутат України, делегований комітетом Верховної Ради України, до предмета відання якого віднесені питання фізичної культури і спорту».</w:t>
      </w:r>
    </w:p>
    <w:p w:rsidR="00171D52" w:rsidRPr="00393D98" w:rsidRDefault="00171D52" w:rsidP="00171D52">
      <w:pPr>
        <w:ind w:firstLine="709"/>
        <w:jc w:val="both"/>
      </w:pPr>
      <w:r w:rsidRPr="00393D98">
        <w:t xml:space="preserve">Проте повноваження народних депутатів України так само, як і комітетів Верховної Ради України, визначені Конституцією України, законами України «Про статус народного депутата України», «Про Регламент Верховної Ради України», «Про комітети Верховної Ради України» та не </w:t>
      </w:r>
      <w:r w:rsidR="00B2310B" w:rsidRPr="00393D98">
        <w:t>передбачають можливостей здійснення народними депутатами України повноважень, якими відповідно до законопроекту наділяється Наглядова рада антидопінгового контролю</w:t>
      </w:r>
      <w:r w:rsidRPr="00393D98">
        <w:t>.</w:t>
      </w:r>
    </w:p>
    <w:p w:rsidR="003052BF" w:rsidRPr="00037A18" w:rsidRDefault="003052BF" w:rsidP="003052BF">
      <w:pPr>
        <w:ind w:firstLine="720"/>
        <w:jc w:val="both"/>
        <w:rPr>
          <w:color w:val="000000"/>
          <w:sz w:val="12"/>
          <w:szCs w:val="12"/>
        </w:rPr>
      </w:pPr>
    </w:p>
    <w:p w:rsidR="00037A18" w:rsidRDefault="00421083" w:rsidP="003052BF">
      <w:pPr>
        <w:ind w:firstLine="708"/>
        <w:jc w:val="both"/>
        <w:rPr>
          <w:rStyle w:val="rvts0"/>
        </w:rPr>
      </w:pPr>
      <w:r>
        <w:t>4.</w:t>
      </w:r>
      <w:r w:rsidR="003052BF" w:rsidRPr="00393D98">
        <w:t> </w:t>
      </w:r>
      <w:r>
        <w:t>З</w:t>
      </w:r>
      <w:r w:rsidR="00B2310B" w:rsidRPr="00393D98">
        <w:t>аконо</w:t>
      </w:r>
      <w:r w:rsidR="003052BF" w:rsidRPr="00393D98">
        <w:t xml:space="preserve">проект </w:t>
      </w:r>
      <w:r w:rsidR="00B2310B" w:rsidRPr="00393D98">
        <w:t xml:space="preserve">містить визначення </w:t>
      </w:r>
      <w:r>
        <w:t xml:space="preserve">таких </w:t>
      </w:r>
      <w:r w:rsidR="00B2310B" w:rsidRPr="00393D98">
        <w:t>термінів,</w:t>
      </w:r>
      <w:r>
        <w:t xml:space="preserve"> як «</w:t>
      </w:r>
      <w:r w:rsidR="00037A18">
        <w:t>допінг-контроль</w:t>
      </w:r>
      <w:r>
        <w:t>»</w:t>
      </w:r>
      <w:r w:rsidR="00037A18">
        <w:t>, «допінг у спорті», «Міжнародний стандарт для лабораторій», «</w:t>
      </w:r>
      <w:r w:rsidR="00037A18">
        <w:t xml:space="preserve">Міжнародний стандарт для </w:t>
      </w:r>
      <w:r w:rsidR="00037A18">
        <w:t xml:space="preserve">тестування», «тестування». Вказані визначення </w:t>
      </w:r>
      <w:r w:rsidR="00B2310B" w:rsidRPr="00393D98">
        <w:t xml:space="preserve">є аналогічними визначенням, що містить Міжнародна конвенція про боротьбу з допінгом у спорті, яку ратифіковано Законом України від 3 серпня 2006 року № 68-V </w:t>
      </w:r>
      <w:r w:rsidR="00C22DCF" w:rsidRPr="00393D98">
        <w:t>і</w:t>
      </w:r>
      <w:r w:rsidR="00B2310B" w:rsidRPr="00393D98">
        <w:t xml:space="preserve"> </w:t>
      </w:r>
      <w:r w:rsidR="00C22DCF" w:rsidRPr="00393D98">
        <w:t xml:space="preserve">відповідно до статті 9 Конституції України </w:t>
      </w:r>
      <w:r w:rsidR="00B2310B" w:rsidRPr="00393D98">
        <w:t>є частиною національного законодавства</w:t>
      </w:r>
      <w:r w:rsidR="003052BF" w:rsidRPr="00393D98">
        <w:rPr>
          <w:rStyle w:val="rvts0"/>
        </w:rPr>
        <w:t>.</w:t>
      </w:r>
      <w:r w:rsidR="00B2310B" w:rsidRPr="00393D98">
        <w:rPr>
          <w:rStyle w:val="rvts0"/>
        </w:rPr>
        <w:t xml:space="preserve"> </w:t>
      </w:r>
    </w:p>
    <w:p w:rsidR="003052BF" w:rsidRPr="00393D98" w:rsidRDefault="00B2310B" w:rsidP="003052BF">
      <w:pPr>
        <w:ind w:firstLine="708"/>
        <w:jc w:val="both"/>
      </w:pPr>
      <w:r w:rsidRPr="00393D98">
        <w:rPr>
          <w:rStyle w:val="rvts0"/>
        </w:rPr>
        <w:t>З огляду на наведене, на нашу думку, надавати відповідні визначення є недоцільним.</w:t>
      </w:r>
    </w:p>
    <w:p w:rsidR="00D870C5" w:rsidRDefault="00D870C5" w:rsidP="00D870C5">
      <w:pPr>
        <w:rPr>
          <w:rStyle w:val="st42"/>
          <w:b/>
        </w:rPr>
      </w:pPr>
    </w:p>
    <w:p w:rsidR="00D870C5" w:rsidRDefault="00D870C5" w:rsidP="00D870C5">
      <w:pPr>
        <w:rPr>
          <w:rStyle w:val="st42"/>
          <w:b/>
        </w:rPr>
      </w:pPr>
    </w:p>
    <w:p w:rsidR="00D870C5" w:rsidRDefault="00D870C5" w:rsidP="00D870C5">
      <w:pPr>
        <w:rPr>
          <w:rStyle w:val="st42"/>
          <w:b/>
        </w:rPr>
      </w:pPr>
      <w:bookmarkStart w:id="0" w:name="_GoBack"/>
      <w:bookmarkEnd w:id="0"/>
      <w:r>
        <w:rPr>
          <w:rStyle w:val="st42"/>
          <w:b/>
        </w:rPr>
        <w:t>Заступник керівника</w:t>
      </w:r>
    </w:p>
    <w:p w:rsidR="009B247B" w:rsidRPr="00D870C5" w:rsidRDefault="00D870C5" w:rsidP="003052BF">
      <w:pPr>
        <w:rPr>
          <w:b/>
          <w:color w:val="000000"/>
          <w:lang w:val="ru-RU"/>
        </w:rPr>
      </w:pPr>
      <w:r>
        <w:rPr>
          <w:rStyle w:val="st42"/>
          <w:b/>
        </w:rPr>
        <w:t>Головного управління                                                              В. МІЛОВАНОВ</w:t>
      </w:r>
    </w:p>
    <w:sectPr w:rsidR="009B247B" w:rsidRPr="00D870C5" w:rsidSect="000329E0"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2BF"/>
    <w:rsid w:val="000329E0"/>
    <w:rsid w:val="00037A18"/>
    <w:rsid w:val="000D5ACE"/>
    <w:rsid w:val="0015692E"/>
    <w:rsid w:val="00171D52"/>
    <w:rsid w:val="00173075"/>
    <w:rsid w:val="001C4BCF"/>
    <w:rsid w:val="001C64ED"/>
    <w:rsid w:val="00230BA0"/>
    <w:rsid w:val="00276041"/>
    <w:rsid w:val="00283AE7"/>
    <w:rsid w:val="002C1434"/>
    <w:rsid w:val="003052BF"/>
    <w:rsid w:val="00333542"/>
    <w:rsid w:val="00376393"/>
    <w:rsid w:val="00385AFA"/>
    <w:rsid w:val="00393D98"/>
    <w:rsid w:val="00421083"/>
    <w:rsid w:val="00492ECE"/>
    <w:rsid w:val="004A3971"/>
    <w:rsid w:val="00500062"/>
    <w:rsid w:val="0055397F"/>
    <w:rsid w:val="00585E74"/>
    <w:rsid w:val="0078407B"/>
    <w:rsid w:val="007F2597"/>
    <w:rsid w:val="0082610D"/>
    <w:rsid w:val="008E4017"/>
    <w:rsid w:val="009B247B"/>
    <w:rsid w:val="00A00A4F"/>
    <w:rsid w:val="00AE2B58"/>
    <w:rsid w:val="00B02B9A"/>
    <w:rsid w:val="00B2310B"/>
    <w:rsid w:val="00B40BE8"/>
    <w:rsid w:val="00B74BF5"/>
    <w:rsid w:val="00B967C8"/>
    <w:rsid w:val="00BA6B63"/>
    <w:rsid w:val="00C118C2"/>
    <w:rsid w:val="00C21A4B"/>
    <w:rsid w:val="00C22DCF"/>
    <w:rsid w:val="00C25E35"/>
    <w:rsid w:val="00C717F9"/>
    <w:rsid w:val="00D870C5"/>
    <w:rsid w:val="00DE285B"/>
    <w:rsid w:val="00E7671C"/>
    <w:rsid w:val="00FB0546"/>
    <w:rsid w:val="00FD567D"/>
    <w:rsid w:val="00FF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57CE1"/>
  <w15:chartTrackingRefBased/>
  <w15:docId w15:val="{89DFC208-3736-4322-809C-D335F1B6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2BF"/>
    <w:pPr>
      <w:jc w:val="left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3052BF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t42">
    <w:name w:val="st42"/>
    <w:rsid w:val="003052BF"/>
    <w:rPr>
      <w:rFonts w:ascii="Times New Roman" w:hAnsi="Times New Roman" w:cs="Times New Roman" w:hint="default"/>
      <w:color w:val="000000"/>
    </w:rPr>
  </w:style>
  <w:style w:type="character" w:customStyle="1" w:styleId="rvts0">
    <w:name w:val="rvts0"/>
    <w:basedOn w:val="a0"/>
    <w:rsid w:val="003052BF"/>
  </w:style>
  <w:style w:type="character" w:customStyle="1" w:styleId="st96">
    <w:name w:val="st96"/>
    <w:rsid w:val="003052BF"/>
    <w:rPr>
      <w:rFonts w:ascii="Times New Roman" w:hAnsi="Times New Roman" w:cs="Times New Roman" w:hint="default"/>
      <w:color w:val="0000FF"/>
    </w:rPr>
  </w:style>
  <w:style w:type="paragraph" w:styleId="a3">
    <w:name w:val="Balloon Text"/>
    <w:basedOn w:val="a"/>
    <w:link w:val="a4"/>
    <w:uiPriority w:val="99"/>
    <w:semiHidden/>
    <w:unhideWhenUsed/>
    <w:rsid w:val="00BA6B6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A6B6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393D98"/>
    <w:pPr>
      <w:jc w:val="left"/>
    </w:pPr>
    <w:rPr>
      <w:rFonts w:cstheme="minorBidi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6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C5A1D-AC29-404A-861E-C02E8B929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3044</Words>
  <Characters>1736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Олександрівна Жуковіна</dc:creator>
  <cp:keywords/>
  <dc:description/>
  <cp:lastModifiedBy>Лідія Олександрівна Жуковіна</cp:lastModifiedBy>
  <cp:revision>11</cp:revision>
  <cp:lastPrinted>2017-01-16T10:49:00Z</cp:lastPrinted>
  <dcterms:created xsi:type="dcterms:W3CDTF">2017-01-16T07:51:00Z</dcterms:created>
  <dcterms:modified xsi:type="dcterms:W3CDTF">2017-01-18T08:23:00Z</dcterms:modified>
</cp:coreProperties>
</file>