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5BF" w:rsidRPr="005D3ADB" w:rsidRDefault="007465BF" w:rsidP="00202667">
      <w:pPr>
        <w:ind w:right="85"/>
        <w:jc w:val="right"/>
        <w:rPr>
          <w:sz w:val="24"/>
          <w:szCs w:val="24"/>
        </w:rPr>
      </w:pPr>
      <w:r w:rsidRPr="005D3ADB">
        <w:rPr>
          <w:sz w:val="24"/>
          <w:szCs w:val="24"/>
        </w:rPr>
        <w:t>До реєстр. № 4901 від 06.07.2016</w:t>
      </w:r>
    </w:p>
    <w:p w:rsidR="007465BF" w:rsidRPr="0074323F" w:rsidRDefault="007465BF" w:rsidP="00202667">
      <w:pPr>
        <w:ind w:right="85"/>
        <w:jc w:val="right"/>
        <w:rPr>
          <w:sz w:val="22"/>
          <w:szCs w:val="22"/>
        </w:rPr>
      </w:pPr>
      <w:r w:rsidRPr="0074323F">
        <w:rPr>
          <w:sz w:val="22"/>
          <w:szCs w:val="22"/>
        </w:rPr>
        <w:t>(друге читання)</w:t>
      </w:r>
    </w:p>
    <w:p w:rsidR="007465BF" w:rsidRPr="00B51DA9" w:rsidRDefault="007465BF" w:rsidP="00202667">
      <w:pPr>
        <w:jc w:val="center"/>
        <w:rPr>
          <w:b/>
          <w:sz w:val="28"/>
          <w:szCs w:val="28"/>
        </w:rPr>
      </w:pPr>
    </w:p>
    <w:p w:rsidR="007465BF" w:rsidRPr="00B51DA9" w:rsidRDefault="007465BF" w:rsidP="00202667">
      <w:pPr>
        <w:jc w:val="center"/>
        <w:rPr>
          <w:b/>
          <w:sz w:val="28"/>
          <w:szCs w:val="28"/>
        </w:rPr>
      </w:pPr>
    </w:p>
    <w:p w:rsidR="007465BF" w:rsidRPr="00B51DA9" w:rsidRDefault="007465BF" w:rsidP="00202667">
      <w:pPr>
        <w:jc w:val="center"/>
        <w:rPr>
          <w:b/>
          <w:sz w:val="28"/>
          <w:szCs w:val="28"/>
        </w:rPr>
      </w:pPr>
    </w:p>
    <w:p w:rsidR="007465BF" w:rsidRPr="00B51DA9" w:rsidRDefault="007465BF" w:rsidP="00202667">
      <w:pPr>
        <w:jc w:val="center"/>
        <w:rPr>
          <w:b/>
          <w:sz w:val="28"/>
          <w:szCs w:val="28"/>
        </w:rPr>
      </w:pPr>
    </w:p>
    <w:p w:rsidR="007465BF" w:rsidRPr="00B51DA9" w:rsidRDefault="007465BF" w:rsidP="00202667">
      <w:pPr>
        <w:jc w:val="center"/>
        <w:rPr>
          <w:b/>
          <w:sz w:val="28"/>
          <w:szCs w:val="28"/>
        </w:rPr>
      </w:pPr>
    </w:p>
    <w:p w:rsidR="007465BF" w:rsidRPr="00B51DA9" w:rsidRDefault="007465BF" w:rsidP="00202667">
      <w:pPr>
        <w:jc w:val="center"/>
        <w:rPr>
          <w:b/>
          <w:sz w:val="28"/>
          <w:szCs w:val="28"/>
        </w:rPr>
      </w:pPr>
    </w:p>
    <w:p w:rsidR="007465BF" w:rsidRPr="00B51DA9" w:rsidRDefault="007465BF" w:rsidP="00202667">
      <w:pPr>
        <w:jc w:val="center"/>
        <w:rPr>
          <w:b/>
          <w:sz w:val="28"/>
          <w:szCs w:val="28"/>
        </w:rPr>
      </w:pPr>
    </w:p>
    <w:p w:rsidR="007465BF" w:rsidRPr="00B51DA9" w:rsidRDefault="007465BF" w:rsidP="00202667">
      <w:pPr>
        <w:jc w:val="center"/>
        <w:rPr>
          <w:b/>
          <w:sz w:val="28"/>
          <w:szCs w:val="28"/>
        </w:rPr>
      </w:pPr>
      <w:bookmarkStart w:id="0" w:name="_GoBack"/>
      <w:bookmarkEnd w:id="0"/>
    </w:p>
    <w:p w:rsidR="007465BF" w:rsidRPr="00202667" w:rsidRDefault="007465BF" w:rsidP="00E140D8">
      <w:pPr>
        <w:jc w:val="center"/>
        <w:rPr>
          <w:b/>
          <w:sz w:val="28"/>
          <w:szCs w:val="28"/>
        </w:rPr>
      </w:pPr>
      <w:r w:rsidRPr="00202667">
        <w:rPr>
          <w:b/>
          <w:sz w:val="28"/>
          <w:szCs w:val="28"/>
        </w:rPr>
        <w:t>ЗАУВАЖЕННЯ</w:t>
      </w:r>
    </w:p>
    <w:p w:rsidR="007465BF" w:rsidRPr="005D3ADB" w:rsidRDefault="007465BF" w:rsidP="00E140D8">
      <w:pPr>
        <w:jc w:val="center"/>
        <w:rPr>
          <w:b/>
          <w:sz w:val="28"/>
          <w:szCs w:val="28"/>
        </w:rPr>
      </w:pPr>
      <w:r w:rsidRPr="005D3ADB">
        <w:rPr>
          <w:b/>
          <w:sz w:val="28"/>
          <w:szCs w:val="28"/>
        </w:rPr>
        <w:t>до проекту Закону України</w:t>
      </w:r>
    </w:p>
    <w:p w:rsidR="007465BF" w:rsidRPr="005D3ADB" w:rsidRDefault="007465BF" w:rsidP="00E140D8">
      <w:pPr>
        <w:ind w:firstLine="567"/>
        <w:jc w:val="center"/>
        <w:rPr>
          <w:b/>
          <w:sz w:val="28"/>
          <w:szCs w:val="28"/>
        </w:rPr>
      </w:pPr>
      <w:r w:rsidRPr="005D3ADB">
        <w:rPr>
          <w:b/>
          <w:sz w:val="28"/>
          <w:szCs w:val="28"/>
        </w:rPr>
        <w:t>п</w:t>
      </w:r>
      <w:r w:rsidRPr="005D3ADB">
        <w:rPr>
          <w:rStyle w:val="Strong"/>
          <w:bCs/>
          <w:sz w:val="28"/>
          <w:szCs w:val="28"/>
        </w:rPr>
        <w:t>ро</w:t>
      </w:r>
      <w:r w:rsidRPr="005D3ADB">
        <w:rPr>
          <w:b/>
          <w:sz w:val="28"/>
          <w:szCs w:val="28"/>
        </w:rPr>
        <w:t xml:space="preserve"> комерційний облік комунальних послуг</w:t>
      </w:r>
    </w:p>
    <w:p w:rsidR="007465BF" w:rsidRPr="005D3ADB" w:rsidRDefault="007465BF" w:rsidP="00E140D8">
      <w:pPr>
        <w:jc w:val="center"/>
        <w:rPr>
          <w:b/>
          <w:sz w:val="28"/>
          <w:szCs w:val="28"/>
        </w:rPr>
      </w:pPr>
      <w:r w:rsidRPr="005D3ADB">
        <w:rPr>
          <w:rStyle w:val="Strong"/>
          <w:bCs/>
          <w:sz w:val="28"/>
          <w:szCs w:val="28"/>
        </w:rPr>
        <w:t>(реєстраційний № 4901</w:t>
      </w:r>
      <w:r w:rsidRPr="005D3ADB">
        <w:rPr>
          <w:b/>
          <w:sz w:val="28"/>
          <w:szCs w:val="28"/>
        </w:rPr>
        <w:t>)</w:t>
      </w:r>
    </w:p>
    <w:p w:rsidR="007465BF" w:rsidRPr="00202667" w:rsidRDefault="007465BF" w:rsidP="00202667">
      <w:pPr>
        <w:jc w:val="center"/>
        <w:rPr>
          <w:sz w:val="28"/>
          <w:szCs w:val="28"/>
        </w:rPr>
      </w:pPr>
    </w:p>
    <w:p w:rsidR="007465BF" w:rsidRPr="00B51DA9" w:rsidRDefault="007465BF" w:rsidP="00B51DA9">
      <w:pPr>
        <w:tabs>
          <w:tab w:val="left" w:pos="993"/>
        </w:tabs>
        <w:spacing w:after="120"/>
        <w:ind w:firstLine="709"/>
        <w:jc w:val="both"/>
        <w:rPr>
          <w:sz w:val="28"/>
          <w:szCs w:val="28"/>
        </w:rPr>
      </w:pPr>
      <w:r w:rsidRPr="00B51DA9">
        <w:rPr>
          <w:sz w:val="28"/>
          <w:szCs w:val="28"/>
        </w:rPr>
        <w:t>У Головному юридичному управлінні проаналізовано проект Закону України про комерційний облік комунальних послуг (реєстр. №4901), підготовлений Комітетом з питань будівництва, містобудування і житлово-комунального господарства для розгляду в другому читанні.</w:t>
      </w:r>
    </w:p>
    <w:p w:rsidR="007465BF" w:rsidRPr="00B51DA9" w:rsidRDefault="007465BF" w:rsidP="00B51DA9">
      <w:pPr>
        <w:spacing w:after="120"/>
        <w:ind w:firstLine="709"/>
        <w:jc w:val="both"/>
        <w:rPr>
          <w:sz w:val="28"/>
          <w:szCs w:val="28"/>
        </w:rPr>
      </w:pPr>
      <w:r w:rsidRPr="00B51DA9">
        <w:rPr>
          <w:sz w:val="28"/>
          <w:szCs w:val="28"/>
        </w:rPr>
        <w:t>Поділяючи необхідність формування правових, економічних та організаційних засад забезпечення комерційного</w:t>
      </w:r>
      <w:r>
        <w:rPr>
          <w:sz w:val="28"/>
          <w:szCs w:val="28"/>
        </w:rPr>
        <w:t>, у тому числі</w:t>
      </w:r>
      <w:r w:rsidRPr="00B51DA9">
        <w:rPr>
          <w:sz w:val="28"/>
          <w:szCs w:val="28"/>
        </w:rPr>
        <w:t xml:space="preserve"> розподільчого</w:t>
      </w:r>
      <w:r>
        <w:rPr>
          <w:sz w:val="28"/>
          <w:szCs w:val="28"/>
        </w:rPr>
        <w:t>,</w:t>
      </w:r>
      <w:r w:rsidRPr="00B51DA9">
        <w:rPr>
          <w:sz w:val="28"/>
          <w:szCs w:val="28"/>
        </w:rPr>
        <w:t xml:space="preserve"> обліку комунальних послуг</w:t>
      </w:r>
      <w:r>
        <w:rPr>
          <w:sz w:val="28"/>
          <w:szCs w:val="28"/>
        </w:rPr>
        <w:t xml:space="preserve"> </w:t>
      </w:r>
      <w:r w:rsidRPr="00C50546">
        <w:rPr>
          <w:sz w:val="28"/>
          <w:szCs w:val="28"/>
        </w:rPr>
        <w:t>та забезпечення відповідною обліковою інформацією споживачів таких послуг</w:t>
      </w:r>
      <w:r w:rsidRPr="00B51DA9">
        <w:rPr>
          <w:sz w:val="28"/>
          <w:szCs w:val="28"/>
        </w:rPr>
        <w:t>, Головне юридичне управління поділяє міркування, висловлені у висновку Головного науково-експертного управління від 07.09.2016 щодо необхідності удосконалення цього законопроекту, та вважає за необхідне звернути увагу на таке.</w:t>
      </w:r>
    </w:p>
    <w:p w:rsidR="007465BF" w:rsidRPr="00B51DA9" w:rsidRDefault="007465BF" w:rsidP="00B51DA9">
      <w:pPr>
        <w:pStyle w:val="ListParagraph"/>
        <w:numPr>
          <w:ilvl w:val="0"/>
          <w:numId w:val="3"/>
        </w:numPr>
        <w:tabs>
          <w:tab w:val="left" w:pos="993"/>
        </w:tabs>
        <w:spacing w:after="120"/>
        <w:ind w:left="0" w:firstLine="709"/>
        <w:jc w:val="both"/>
        <w:rPr>
          <w:sz w:val="28"/>
          <w:szCs w:val="28"/>
        </w:rPr>
      </w:pPr>
      <w:r w:rsidRPr="00B51DA9">
        <w:rPr>
          <w:sz w:val="28"/>
          <w:szCs w:val="28"/>
        </w:rPr>
        <w:t>Частиною першою статті 3 законопроекту передбачається, що оснащення будівель вузлами комерційного обліку та обладнанням інженерних систем для забезпечення такого обліку здійснюється відповідно до проектної документації з дотриманням будівельних норм і правил у порядку, встановленому центральним органом виконавчої влади, що забезпечує формування державної політики у сфері житлово-комунального господарства.</w:t>
      </w:r>
    </w:p>
    <w:p w:rsidR="007465BF" w:rsidRPr="00B51DA9" w:rsidRDefault="007465BF" w:rsidP="00B51DA9">
      <w:pPr>
        <w:tabs>
          <w:tab w:val="left" w:pos="993"/>
        </w:tabs>
        <w:spacing w:after="120"/>
        <w:ind w:firstLine="709"/>
        <w:jc w:val="both"/>
        <w:rPr>
          <w:sz w:val="28"/>
          <w:szCs w:val="28"/>
        </w:rPr>
      </w:pPr>
      <w:r w:rsidRPr="00B51DA9">
        <w:rPr>
          <w:sz w:val="28"/>
          <w:szCs w:val="28"/>
        </w:rPr>
        <w:t>Відтак, як вбачається, окремі питання, що передбачається врегулювати законопроектом, доцільно було б вирішити шляхом прийняття та внесення змін до підзаконних нормативно-правових актів з визначенням особливостей правових та організаційних засад регулювання відносин у сфері комерційного, у тому числі розподільного, обліку послуг з постачання теплової енергії, постачання гарячої води, централізованого водопостачання. Відтак, технічні вимоги до оснащення будівель вузлами комерційного обліку та відповідного обладнання інженерних систем мали б стати предметом регулювання національних стандартів України.</w:t>
      </w:r>
    </w:p>
    <w:tbl>
      <w:tblPr>
        <w:tblW w:w="9639" w:type="dxa"/>
        <w:tblLayout w:type="fixed"/>
        <w:tblCellMar>
          <w:left w:w="72" w:type="dxa"/>
          <w:right w:w="72" w:type="dxa"/>
        </w:tblCellMar>
        <w:tblLook w:val="0000"/>
      </w:tblPr>
      <w:tblGrid>
        <w:gridCol w:w="9639"/>
      </w:tblGrid>
      <w:tr w:rsidR="007465BF" w:rsidRPr="00B51DA9" w:rsidTr="00BB560F">
        <w:tc>
          <w:tcPr>
            <w:tcW w:w="9639" w:type="dxa"/>
          </w:tcPr>
          <w:p w:rsidR="007465BF" w:rsidRPr="00C23A61" w:rsidRDefault="007465BF" w:rsidP="00B51DA9">
            <w:pPr>
              <w:pStyle w:val="StyleZakonu"/>
              <w:tabs>
                <w:tab w:val="left" w:pos="993"/>
              </w:tabs>
              <w:spacing w:after="120" w:line="240" w:lineRule="auto"/>
              <w:ind w:firstLine="709"/>
              <w:rPr>
                <w:sz w:val="28"/>
                <w:szCs w:val="28"/>
              </w:rPr>
            </w:pPr>
            <w:r w:rsidRPr="00C23A61">
              <w:rPr>
                <w:sz w:val="28"/>
                <w:szCs w:val="28"/>
              </w:rPr>
              <w:t xml:space="preserve">2. </w:t>
            </w:r>
            <w:r w:rsidRPr="00C23A61">
              <w:rPr>
                <w:bCs/>
                <w:color w:val="000000"/>
                <w:sz w:val="28"/>
                <w:szCs w:val="28"/>
                <w:lang w:eastAsia="uk-UA"/>
              </w:rPr>
              <w:t>Проектом (статті 1, 3, 4, 6) пропонується унормувати питання сплати споживачами комунальних послуг операторам зовнішніх інженерних мереж внесків за встановлення, обслуговування та заміну вузлів комерційного обліку як відшкодування понесених останніми витрат на оснащення будівель вузлами комерційного обліку. При цьому визначення вартості їх встановлення, розміру та порядку сплати буде здійснюватися операторами зовнішніх інженерних мереж на власний розсуд в односторонньому порядку. Отримані кошти оператор зовнішніх інженерних мереж повинен спрямовувати на окремий рахунок та використовувати виключно на цілі щодо встановлення, обслуговування та заміну вузлів комерційного обліку. Вважаємо, що за такого підходу, за відсутності у проекті норми щодо нормативного регулювання цін на послуги щодо встановлення, обслуговування та заміну вузлів комерційного обліку відповідним органом державної влади споживач комунальних послуг ставиться в нерівне становище в порівнянні з оператором зовнішніх інженерних мереж, який до того ж переважно є суб’єктом природних монополій, будуть порушені вимоги статті 3 Конституції України, згідно з якою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w:t>
            </w:r>
            <w:r>
              <w:rPr>
                <w:bCs/>
                <w:color w:val="000000"/>
                <w:sz w:val="28"/>
                <w:szCs w:val="28"/>
                <w:lang w:eastAsia="uk-UA"/>
              </w:rPr>
              <w:t>’</w:t>
            </w:r>
            <w:r w:rsidRPr="00C23A61">
              <w:rPr>
                <w:bCs/>
                <w:color w:val="000000"/>
                <w:sz w:val="28"/>
                <w:szCs w:val="28"/>
                <w:lang w:eastAsia="uk-UA"/>
              </w:rPr>
              <w:t>язком держави.</w:t>
            </w:r>
          </w:p>
          <w:p w:rsidR="007465BF" w:rsidRPr="00B51DA9" w:rsidRDefault="007465BF" w:rsidP="00B51DA9">
            <w:pPr>
              <w:pStyle w:val="StyleZakonu"/>
              <w:tabs>
                <w:tab w:val="left" w:pos="993"/>
              </w:tabs>
              <w:spacing w:after="120" w:line="240" w:lineRule="auto"/>
              <w:ind w:firstLine="709"/>
              <w:rPr>
                <w:sz w:val="28"/>
                <w:szCs w:val="28"/>
              </w:rPr>
            </w:pPr>
            <w:r>
              <w:rPr>
                <w:sz w:val="28"/>
                <w:szCs w:val="28"/>
              </w:rPr>
              <w:t xml:space="preserve">3. </w:t>
            </w:r>
            <w:r w:rsidRPr="00B51DA9">
              <w:rPr>
                <w:sz w:val="28"/>
                <w:szCs w:val="28"/>
              </w:rPr>
              <w:t xml:space="preserve">Пунктом 3 частини першої статті 1 передбачається визначити правовий інститут внесків за встановлення, обслуговування та заміну вузлів комерційного обліку як регулярних платежів, визначених окремо для кожної будівлі, що враховують витрати на обслуговування вузлів комерційного обліку за кожною комунальною послугою, та витрати операторів зовнішніх інженерних мереж, пов’язані із встановленням, обслуговуванням або заміною вузлів комерційного обліку (за наявності). </w:t>
            </w:r>
          </w:p>
        </w:tc>
      </w:tr>
    </w:tbl>
    <w:p w:rsidR="007465BF" w:rsidRPr="00B51DA9" w:rsidRDefault="007465BF" w:rsidP="00B51DA9">
      <w:pPr>
        <w:pStyle w:val="StyleZakonu"/>
        <w:tabs>
          <w:tab w:val="left" w:pos="993"/>
        </w:tabs>
        <w:spacing w:after="120" w:line="240" w:lineRule="auto"/>
        <w:ind w:firstLine="709"/>
        <w:rPr>
          <w:rStyle w:val="st42"/>
          <w:color w:val="auto"/>
          <w:sz w:val="28"/>
          <w:szCs w:val="28"/>
        </w:rPr>
      </w:pPr>
      <w:r w:rsidRPr="00B51DA9">
        <w:rPr>
          <w:rStyle w:val="st42"/>
          <w:sz w:val="28"/>
          <w:szCs w:val="28"/>
        </w:rPr>
        <w:t xml:space="preserve">Натепер частиною четвертою статті 17 Закону </w:t>
      </w:r>
      <w:r w:rsidRPr="00B51DA9">
        <w:rPr>
          <w:sz w:val="28"/>
          <w:szCs w:val="28"/>
        </w:rPr>
        <w:t>України “Про метрологію та метрологічну діяльність” передбачається, що “п</w:t>
      </w:r>
      <w:r w:rsidRPr="00B51DA9">
        <w:rPr>
          <w:rStyle w:val="st42"/>
          <w:sz w:val="28"/>
          <w:szCs w:val="28"/>
        </w:rPr>
        <w:t>еріодична повірка, обслуговування та ремонт (у тому числі демонтаж, транспортування та монтаж) засобів вимірювальної техніки (результати вимірювань яких використовуються для здійснення розрахунків за спожиті для побутових потреб електричну і теплову енергію, газ і воду), що є власністю фізичних осіб, здійснюються за рахунок суб’єктів господарювання, що надають послуги з електро-, тепло-, газо- і водопостачання.</w:t>
      </w:r>
      <w:r w:rsidRPr="00B51DA9">
        <w:rPr>
          <w:sz w:val="28"/>
          <w:szCs w:val="28"/>
        </w:rPr>
        <w:t xml:space="preserve"> </w:t>
      </w:r>
      <w:r w:rsidRPr="00B51DA9">
        <w:rPr>
          <w:rStyle w:val="st42"/>
          <w:sz w:val="28"/>
          <w:szCs w:val="28"/>
        </w:rPr>
        <w:t>Періодична повірка проводиться за рахунок тарифів на електро-, тепло-, газо- і водопостачання</w:t>
      </w:r>
      <w:r w:rsidRPr="00B51DA9">
        <w:rPr>
          <w:sz w:val="28"/>
          <w:szCs w:val="28"/>
        </w:rPr>
        <w:t>. Порядок</w:t>
      </w:r>
      <w:r w:rsidRPr="00B51DA9">
        <w:rPr>
          <w:rStyle w:val="st42"/>
          <w:sz w:val="28"/>
          <w:szCs w:val="28"/>
        </w:rPr>
        <w:t xml:space="preserve"> подання таких засобів на періодичну повірку, обслуговування та ремонт, а також порядок оплати за періодичну повірку, обслуговування та ремонт (у тому числі демонтаж, транспортування та монтаж) встановлюються Кабінетом Міністрів України</w:t>
      </w:r>
      <w:r w:rsidRPr="00B51DA9">
        <w:rPr>
          <w:sz w:val="28"/>
          <w:szCs w:val="28"/>
        </w:rPr>
        <w:t>”</w:t>
      </w:r>
      <w:r w:rsidRPr="00B51DA9">
        <w:rPr>
          <w:rStyle w:val="st42"/>
          <w:sz w:val="28"/>
          <w:szCs w:val="28"/>
        </w:rPr>
        <w:t xml:space="preserve">. </w:t>
      </w:r>
    </w:p>
    <w:p w:rsidR="007465BF" w:rsidRPr="00B51DA9" w:rsidRDefault="007465BF" w:rsidP="00B51DA9">
      <w:pPr>
        <w:pStyle w:val="StyleZakonu"/>
        <w:tabs>
          <w:tab w:val="left" w:pos="993"/>
        </w:tabs>
        <w:spacing w:after="120" w:line="240" w:lineRule="auto"/>
        <w:ind w:firstLine="709"/>
        <w:rPr>
          <w:sz w:val="28"/>
          <w:szCs w:val="28"/>
        </w:rPr>
      </w:pPr>
      <w:r w:rsidRPr="00B51DA9">
        <w:rPr>
          <w:rStyle w:val="st42"/>
          <w:sz w:val="28"/>
          <w:szCs w:val="28"/>
        </w:rPr>
        <w:t xml:space="preserve">Законопроектом (пункт 7 розділу </w:t>
      </w:r>
      <w:r w:rsidRPr="00B51DA9">
        <w:rPr>
          <w:rStyle w:val="st42"/>
          <w:sz w:val="28"/>
          <w:szCs w:val="28"/>
          <w:lang w:val="en-US"/>
        </w:rPr>
        <w:t>IV</w:t>
      </w:r>
      <w:r w:rsidRPr="00B51DA9">
        <w:rPr>
          <w:rStyle w:val="st42"/>
          <w:sz w:val="28"/>
          <w:szCs w:val="28"/>
        </w:rPr>
        <w:t xml:space="preserve"> </w:t>
      </w:r>
      <w:r w:rsidRPr="00B51DA9">
        <w:rPr>
          <w:sz w:val="28"/>
          <w:szCs w:val="28"/>
        </w:rPr>
        <w:t>“</w:t>
      </w:r>
      <w:r w:rsidRPr="00B51DA9">
        <w:rPr>
          <w:rStyle w:val="st42"/>
          <w:sz w:val="28"/>
          <w:szCs w:val="28"/>
        </w:rPr>
        <w:t>Прикінцеві та перехідні положення</w:t>
      </w:r>
      <w:r w:rsidRPr="00B51DA9">
        <w:rPr>
          <w:sz w:val="28"/>
          <w:szCs w:val="28"/>
        </w:rPr>
        <w:t>”</w:t>
      </w:r>
      <w:r w:rsidRPr="00B51DA9">
        <w:rPr>
          <w:rStyle w:val="st42"/>
          <w:sz w:val="28"/>
          <w:szCs w:val="28"/>
        </w:rPr>
        <w:t xml:space="preserve">) передбачається покласти витрати за періодичну повірку засобів вимірювальної техніки (результати вимірювань яких використовуються для здійснення комерційних розрахунків за спожиті теплову енергію і воду) на споживачів послуг </w:t>
      </w:r>
      <w:r w:rsidRPr="00B51DA9">
        <w:rPr>
          <w:sz w:val="28"/>
          <w:szCs w:val="28"/>
        </w:rPr>
        <w:t>з постачання теплової енергії, постачання гарячої води, централізованого водопостачання, що планується здійснювати за рахунок внесків за обслуговування вузлів комерційного</w:t>
      </w:r>
      <w:r w:rsidRPr="00B51DA9">
        <w:rPr>
          <w:b/>
          <w:sz w:val="28"/>
          <w:szCs w:val="28"/>
        </w:rPr>
        <w:t xml:space="preserve"> </w:t>
      </w:r>
      <w:r w:rsidRPr="00B51DA9">
        <w:rPr>
          <w:sz w:val="28"/>
          <w:szCs w:val="28"/>
        </w:rPr>
        <w:t>обліку, встановлених відповідно до Закону України “Про комерційний облік комунальних послуг”.</w:t>
      </w:r>
    </w:p>
    <w:p w:rsidR="007465BF" w:rsidRPr="00B51DA9" w:rsidRDefault="007465BF" w:rsidP="00B51DA9">
      <w:pPr>
        <w:pStyle w:val="StyleZakonu"/>
        <w:tabs>
          <w:tab w:val="left" w:pos="993"/>
        </w:tabs>
        <w:spacing w:after="120" w:line="240" w:lineRule="auto"/>
        <w:ind w:firstLine="709"/>
        <w:rPr>
          <w:rStyle w:val="st42"/>
          <w:color w:val="auto"/>
          <w:sz w:val="28"/>
          <w:szCs w:val="28"/>
        </w:rPr>
      </w:pPr>
      <w:r w:rsidRPr="00B51DA9">
        <w:rPr>
          <w:sz w:val="28"/>
          <w:szCs w:val="28"/>
        </w:rPr>
        <w:t xml:space="preserve">Тому вважаємо, що такий законодавчий підхід на практиці в процесі реалізації законодавчих засад, передбачених поданим законопроектом, може вплинути на права споживачів з користування </w:t>
      </w:r>
      <w:r w:rsidRPr="00B51DA9">
        <w:rPr>
          <w:rStyle w:val="st42"/>
          <w:sz w:val="28"/>
          <w:szCs w:val="28"/>
        </w:rPr>
        <w:t xml:space="preserve">послугами </w:t>
      </w:r>
      <w:r w:rsidRPr="00B51DA9">
        <w:rPr>
          <w:sz w:val="28"/>
          <w:szCs w:val="28"/>
        </w:rPr>
        <w:t>з постачання теплової енергії, постачання гарячої води, централізованого водопостачання, що не допускається частиною третьою статті 22 Конституції України.</w:t>
      </w:r>
    </w:p>
    <w:p w:rsidR="007465BF" w:rsidRPr="00B51DA9" w:rsidRDefault="007465BF" w:rsidP="00C23A61">
      <w:pPr>
        <w:pStyle w:val="ListParagraph"/>
        <w:numPr>
          <w:ilvl w:val="0"/>
          <w:numId w:val="7"/>
        </w:numPr>
        <w:tabs>
          <w:tab w:val="left" w:pos="709"/>
          <w:tab w:val="left" w:pos="993"/>
        </w:tabs>
        <w:spacing w:after="120"/>
        <w:ind w:left="0" w:firstLine="709"/>
        <w:jc w:val="both"/>
        <w:rPr>
          <w:sz w:val="28"/>
          <w:szCs w:val="28"/>
        </w:rPr>
      </w:pPr>
      <w:r w:rsidRPr="00B51DA9">
        <w:rPr>
          <w:sz w:val="28"/>
          <w:szCs w:val="28"/>
        </w:rPr>
        <w:t xml:space="preserve">Частиною першою статті 12 законопроекту передбачається, що моніторинг стану оснащеності вузлами комерційного обліку здійснюється центральним органом виконавчої влади, що забезпечує </w:t>
      </w:r>
      <w:r w:rsidRPr="00B51DA9">
        <w:rPr>
          <w:color w:val="000000"/>
          <w:sz w:val="28"/>
          <w:szCs w:val="28"/>
        </w:rPr>
        <w:t>реалізацію державної політику у сфері ефективного використання паливно-енергетичних ресурсів та енергозбереження,</w:t>
      </w:r>
      <w:r w:rsidRPr="00B51DA9">
        <w:rPr>
          <w:sz w:val="28"/>
          <w:szCs w:val="28"/>
        </w:rPr>
        <w:t xml:space="preserve"> на підставі інформації обласних, Київської та Севастопольської міських державних адміністрацій у порядку, встановленому Кабінетом Міністрів України. Такий законодавчий підхід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Те саме стосується частини третьої статті 12 законопроекту щодо порядку обміну інформацією між органом, що здійснює моніторинг стану оснащення вузлами комерційного обліку комунальних послуг, та органом, уповноваженим на прийняття рішень про притягнення до відповідальності за порушення цього Закону, що встановлюється Кабінетом Міністрів України.</w:t>
      </w:r>
    </w:p>
    <w:p w:rsidR="007465BF" w:rsidRPr="00C23A61" w:rsidRDefault="007465BF" w:rsidP="00C23A61">
      <w:pPr>
        <w:pStyle w:val="ListParagraph"/>
        <w:numPr>
          <w:ilvl w:val="0"/>
          <w:numId w:val="7"/>
        </w:numPr>
        <w:tabs>
          <w:tab w:val="left" w:pos="709"/>
        </w:tabs>
        <w:spacing w:after="120"/>
        <w:ind w:left="0" w:firstLine="709"/>
        <w:jc w:val="both"/>
        <w:rPr>
          <w:rStyle w:val="st42"/>
          <w:color w:val="auto"/>
          <w:sz w:val="28"/>
          <w:szCs w:val="28"/>
        </w:rPr>
      </w:pPr>
      <w:r w:rsidRPr="00C23A61">
        <w:rPr>
          <w:sz w:val="28"/>
          <w:szCs w:val="28"/>
        </w:rPr>
        <w:t>Частиною дев’ятою статті 16 законопроекту передбачається, що суми стягнених штрафів за правопорушення у сфері комерційного обліку комунальних послуг зараховуються до відповідних місцевих бюджетів та спрямовуються на реалізацію місцевих програм у сфері енергоефективності та/або енергозбереження, що, як вбачається, не враховує вимог пункту 3 статті 7 Бюджетного кодексу України, за якою “Д</w:t>
      </w:r>
      <w:r w:rsidRPr="00C23A61">
        <w:rPr>
          <w:rStyle w:val="st42"/>
          <w:sz w:val="28"/>
          <w:szCs w:val="28"/>
        </w:rPr>
        <w:t>ержавний бюджет України та місцеві бюджети є самостійними</w:t>
      </w:r>
      <w:r w:rsidRPr="00C23A61">
        <w:rPr>
          <w:sz w:val="28"/>
          <w:szCs w:val="28"/>
        </w:rPr>
        <w:t>”</w:t>
      </w:r>
      <w:r w:rsidRPr="00C23A61">
        <w:rPr>
          <w:rStyle w:val="st42"/>
          <w:sz w:val="28"/>
          <w:szCs w:val="28"/>
        </w:rPr>
        <w:t xml:space="preserve">, а також </w:t>
      </w:r>
      <w:r w:rsidRPr="00C23A61">
        <w:rPr>
          <w:sz w:val="28"/>
          <w:szCs w:val="28"/>
        </w:rPr>
        <w:t>частини другої статті 70 Бюджетного кодексу України, за якою к</w:t>
      </w:r>
      <w:r w:rsidRPr="00C23A61">
        <w:rPr>
          <w:rStyle w:val="st42"/>
          <w:sz w:val="28"/>
          <w:szCs w:val="28"/>
        </w:rPr>
        <w:t>ошти спеціального фонду місцевих бюджетів витрачаються на заходи, передбачені рішенням про місцевий бюджет відповідно до законодавства.</w:t>
      </w:r>
    </w:p>
    <w:p w:rsidR="007465BF" w:rsidRPr="00B51DA9" w:rsidRDefault="007465BF" w:rsidP="00C23A61">
      <w:pPr>
        <w:pStyle w:val="ListParagraph"/>
        <w:numPr>
          <w:ilvl w:val="0"/>
          <w:numId w:val="7"/>
        </w:numPr>
        <w:tabs>
          <w:tab w:val="left" w:pos="993"/>
        </w:tabs>
        <w:spacing w:after="120"/>
        <w:ind w:left="0" w:firstLine="709"/>
        <w:jc w:val="both"/>
        <w:rPr>
          <w:bCs/>
          <w:sz w:val="28"/>
          <w:szCs w:val="28"/>
        </w:rPr>
      </w:pPr>
      <w:r w:rsidRPr="00B51DA9">
        <w:rPr>
          <w:sz w:val="28"/>
          <w:szCs w:val="28"/>
        </w:rPr>
        <w:t xml:space="preserve">Пунктом 2 розділу IV “Прикінцеві та перехідні положення” передбачається, що </w:t>
      </w:r>
      <w:r w:rsidRPr="00B51DA9">
        <w:rPr>
          <w:bCs/>
          <w:sz w:val="28"/>
          <w:szCs w:val="28"/>
        </w:rPr>
        <w:t xml:space="preserve">до затвердження центральним органом виконавчої влади, що забезпечує формування державної політики у сфері житлово-комунального господарства, методики розподілу між споживачами обсягів спожитих у будівлі комунальних послуг співвласники багатоквартирного будинку або іншої будівлі, де налічуються два або більше споживачів, можуть визначити свій порядок розподілу між споживачами обсягів спожитих у будівлі комунальних послуг відповідно до положень статті 10 цього Закону, а також прийняти рішення про незастосування положень частини п’ятої статті 10 цього Закону при розрахунках за житлово-комунальні послуги у відповідному будинку, будівлі. Вважаємо, що зазначений підхід не враховує вимог частини першої статті 68 Конституції України, за якою </w:t>
      </w:r>
      <w:r w:rsidRPr="00B51DA9">
        <w:rPr>
          <w:sz w:val="28"/>
          <w:szCs w:val="28"/>
        </w:rPr>
        <w:t>“</w:t>
      </w:r>
      <w:r w:rsidRPr="00B51DA9">
        <w:rPr>
          <w:bCs/>
          <w:sz w:val="28"/>
          <w:szCs w:val="28"/>
        </w:rPr>
        <w:t>к</w:t>
      </w:r>
      <w:r w:rsidRPr="00B51DA9">
        <w:rPr>
          <w:rStyle w:val="st42"/>
          <w:sz w:val="28"/>
          <w:szCs w:val="28"/>
          <w:lang w:eastAsia="en-US"/>
        </w:rPr>
        <w:t>ожен зобов’язаний неухильно додержуватися Конституції України та законів України, не посягати на права і свободи, честь і гідність інших людей</w:t>
      </w:r>
      <w:r w:rsidRPr="00B51DA9">
        <w:rPr>
          <w:sz w:val="28"/>
          <w:szCs w:val="28"/>
        </w:rPr>
        <w:t>”</w:t>
      </w:r>
      <w:r w:rsidRPr="00B51DA9">
        <w:rPr>
          <w:rStyle w:val="st42"/>
          <w:sz w:val="28"/>
          <w:szCs w:val="28"/>
          <w:lang w:eastAsia="en-US"/>
        </w:rPr>
        <w:t>.</w:t>
      </w:r>
    </w:p>
    <w:p w:rsidR="007465BF" w:rsidRPr="00B51DA9" w:rsidRDefault="007465BF" w:rsidP="00C23A61">
      <w:pPr>
        <w:pStyle w:val="ListParagraph"/>
        <w:numPr>
          <w:ilvl w:val="0"/>
          <w:numId w:val="7"/>
        </w:numPr>
        <w:tabs>
          <w:tab w:val="left" w:pos="993"/>
        </w:tabs>
        <w:spacing w:after="120"/>
        <w:ind w:left="0" w:firstLine="709"/>
        <w:jc w:val="both"/>
        <w:rPr>
          <w:rStyle w:val="Strong"/>
          <w:sz w:val="28"/>
          <w:szCs w:val="28"/>
        </w:rPr>
      </w:pPr>
      <w:r w:rsidRPr="00B51DA9">
        <w:rPr>
          <w:sz w:val="28"/>
          <w:szCs w:val="28"/>
        </w:rPr>
        <w:t xml:space="preserve">Пунктом </w:t>
      </w:r>
      <w:r>
        <w:rPr>
          <w:sz w:val="28"/>
          <w:szCs w:val="28"/>
        </w:rPr>
        <w:t>3</w:t>
      </w:r>
      <w:r w:rsidRPr="00B51DA9">
        <w:rPr>
          <w:sz w:val="28"/>
          <w:szCs w:val="28"/>
        </w:rPr>
        <w:t xml:space="preserve"> розділу IV “Прикінцеві та перехідні положення” передбачається, що </w:t>
      </w:r>
      <w:r w:rsidRPr="00B51DA9">
        <w:rPr>
          <w:rStyle w:val="Strong"/>
          <w:b w:val="0"/>
          <w:bCs/>
          <w:sz w:val="28"/>
          <w:szCs w:val="28"/>
        </w:rPr>
        <w:t>вузли обліку та їх складові частини, включаючи засоби вимірювальної техніки, що використовуються для цілей комерційного, у тому числі розподільного обліку комунальних послуг, а також прилади - розподілювачі теплової енергії, сертифіковані компетентним органом держави - члена Європейського Союзу, Сполучених Штатів Америки, Швейцарії, Японії, Австралії, Канади, для застосування на території такої держави не потребують обов’язкової сертифікації та оцінки відповідності в Україні.</w:t>
      </w:r>
    </w:p>
    <w:p w:rsidR="007465BF" w:rsidRPr="00B51DA9" w:rsidRDefault="007465BF" w:rsidP="00B51DA9">
      <w:pPr>
        <w:pStyle w:val="ParagraphStyle"/>
        <w:tabs>
          <w:tab w:val="left" w:pos="993"/>
        </w:tabs>
        <w:spacing w:after="120"/>
        <w:ind w:firstLine="709"/>
        <w:jc w:val="both"/>
        <w:rPr>
          <w:rFonts w:ascii="Times New Roman" w:hAnsi="Times New Roman" w:cs="Times New Roman"/>
          <w:sz w:val="28"/>
          <w:szCs w:val="28"/>
          <w:lang w:val="uk-UA"/>
        </w:rPr>
      </w:pPr>
      <w:r w:rsidRPr="00B51DA9">
        <w:rPr>
          <w:rFonts w:ascii="Times New Roman" w:hAnsi="Times New Roman" w:cs="Times New Roman"/>
          <w:sz w:val="28"/>
          <w:szCs w:val="28"/>
          <w:lang w:val="uk-UA" w:eastAsia="uk-UA"/>
        </w:rPr>
        <w:t xml:space="preserve">Такий підхід, по суті, передбачає надання преференцій певним закордонним виробникам порівняно з іншими суб’єктами господарювання, що не враховує </w:t>
      </w:r>
      <w:r w:rsidRPr="00B51DA9">
        <w:rPr>
          <w:rFonts w:ascii="Times New Roman" w:hAnsi="Times New Roman" w:cs="Times New Roman"/>
          <w:sz w:val="28"/>
          <w:szCs w:val="28"/>
          <w:lang w:val="uk-UA"/>
        </w:rPr>
        <w:t xml:space="preserve">міжнародних зобов’язань України за договорами СОТ у частині національного режиму щодо внутрішнього регулювання. Так, відповідно до статті ІІІ Генеральної угоди з тарифів і торгівлі 1994 року товарам, що походять з території будь-якого члена СОТ, імпортованим на територію будь-якого іншого члена СОТ, повинен надаватися режим не менш сприятливий, ніж режим, що надається аналогічним товарам національного походження, щодо всіх законів, правил та вимог, що стосуються внутрішнього продажу, пропозиції до продажу, купівлі, транспортування, розподілу чи використання товарів. Крім того, відповідно до пункту 2.1 статті 2 Угоди </w:t>
      </w:r>
      <w:r>
        <w:rPr>
          <w:rFonts w:ascii="Times New Roman" w:hAnsi="Times New Roman" w:cs="Times New Roman"/>
          <w:sz w:val="28"/>
          <w:szCs w:val="28"/>
          <w:lang w:val="uk-UA"/>
        </w:rPr>
        <w:t xml:space="preserve">СОТ </w:t>
      </w:r>
      <w:r w:rsidRPr="00B51DA9">
        <w:rPr>
          <w:rFonts w:ascii="Times New Roman" w:hAnsi="Times New Roman" w:cs="Times New Roman"/>
          <w:sz w:val="28"/>
          <w:szCs w:val="28"/>
          <w:lang w:val="uk-UA"/>
        </w:rPr>
        <w:t>про технічні бар’єри у торгівлі “члени</w:t>
      </w:r>
      <w:r w:rsidRPr="00B51DA9">
        <w:rPr>
          <w:rStyle w:val="FontStyle"/>
          <w:rFonts w:ascii="Times New Roman" w:hAnsi="Times New Roman" w:cs="Times New Roman"/>
          <w:sz w:val="28"/>
          <w:szCs w:val="28"/>
          <w:lang w:val="uk-UA"/>
        </w:rPr>
        <w:t xml:space="preserve"> СОТ повинні забезпечити, щоб стосовно технічних регламентів, товарам, що імпортуються з території будь-якого Члена СОТ, надавався режим не менш сприятливий, ніж той, що надається аналогічним товарам вітчизняного походження та аналогічним товарам, що походять з інших країн</w:t>
      </w:r>
      <w:r w:rsidRPr="00B51DA9">
        <w:rPr>
          <w:rFonts w:ascii="Times New Roman" w:hAnsi="Times New Roman" w:cs="Times New Roman"/>
          <w:sz w:val="28"/>
          <w:szCs w:val="28"/>
          <w:lang w:val="uk-UA"/>
        </w:rPr>
        <w:t>”</w:t>
      </w:r>
      <w:r w:rsidRPr="00B51DA9">
        <w:rPr>
          <w:rStyle w:val="FontStyle"/>
          <w:rFonts w:ascii="Times New Roman" w:hAnsi="Times New Roman" w:cs="Times New Roman"/>
          <w:sz w:val="28"/>
          <w:szCs w:val="28"/>
          <w:lang w:val="uk-UA"/>
        </w:rPr>
        <w:t>.</w:t>
      </w:r>
    </w:p>
    <w:p w:rsidR="007465BF" w:rsidRPr="00B51DA9" w:rsidRDefault="007465BF" w:rsidP="00C23A61">
      <w:pPr>
        <w:pStyle w:val="StyleZakonu"/>
        <w:numPr>
          <w:ilvl w:val="0"/>
          <w:numId w:val="7"/>
        </w:numPr>
        <w:tabs>
          <w:tab w:val="left" w:pos="993"/>
        </w:tabs>
        <w:spacing w:after="120" w:line="240" w:lineRule="auto"/>
        <w:ind w:left="0" w:firstLine="709"/>
        <w:rPr>
          <w:sz w:val="28"/>
          <w:szCs w:val="28"/>
        </w:rPr>
      </w:pPr>
      <w:r>
        <w:rPr>
          <w:sz w:val="28"/>
          <w:szCs w:val="28"/>
        </w:rPr>
        <w:t xml:space="preserve">Розділ </w:t>
      </w:r>
      <w:r>
        <w:rPr>
          <w:sz w:val="28"/>
          <w:szCs w:val="28"/>
          <w:lang w:val="en-US"/>
        </w:rPr>
        <w:t>I</w:t>
      </w:r>
      <w:r w:rsidRPr="009C2EF7">
        <w:rPr>
          <w:sz w:val="28"/>
          <w:szCs w:val="28"/>
        </w:rPr>
        <w:t xml:space="preserve"> </w:t>
      </w:r>
      <w:r w:rsidRPr="00B51DA9">
        <w:rPr>
          <w:sz w:val="28"/>
          <w:szCs w:val="28"/>
        </w:rPr>
        <w:t>“</w:t>
      </w:r>
      <w:r>
        <w:rPr>
          <w:sz w:val="28"/>
          <w:szCs w:val="28"/>
        </w:rPr>
        <w:t>Загальні положення</w:t>
      </w:r>
      <w:r w:rsidRPr="00B51DA9">
        <w:rPr>
          <w:sz w:val="28"/>
          <w:szCs w:val="28"/>
        </w:rPr>
        <w:t>”</w:t>
      </w:r>
      <w:r>
        <w:rPr>
          <w:sz w:val="28"/>
          <w:szCs w:val="28"/>
        </w:rPr>
        <w:t xml:space="preserve"> з</w:t>
      </w:r>
      <w:r w:rsidRPr="00B51DA9">
        <w:rPr>
          <w:sz w:val="28"/>
          <w:szCs w:val="28"/>
        </w:rPr>
        <w:t>аконопроект</w:t>
      </w:r>
      <w:r>
        <w:rPr>
          <w:sz w:val="28"/>
          <w:szCs w:val="28"/>
        </w:rPr>
        <w:t>у</w:t>
      </w:r>
      <w:r w:rsidRPr="00B51DA9">
        <w:rPr>
          <w:sz w:val="28"/>
          <w:szCs w:val="28"/>
        </w:rPr>
        <w:t xml:space="preserve"> містить норми тимчасової дії</w:t>
      </w:r>
      <w:r>
        <w:rPr>
          <w:sz w:val="28"/>
          <w:szCs w:val="28"/>
        </w:rPr>
        <w:t xml:space="preserve"> локального характеру</w:t>
      </w:r>
      <w:r w:rsidRPr="00B51DA9">
        <w:rPr>
          <w:sz w:val="28"/>
          <w:szCs w:val="28"/>
        </w:rPr>
        <w:t xml:space="preserve">, які після розв’язання питань, що підлягають законодавчому регулюванню, вичерпають </w:t>
      </w:r>
      <w:r>
        <w:rPr>
          <w:sz w:val="28"/>
          <w:szCs w:val="28"/>
        </w:rPr>
        <w:t>предмет відповідного регулювання</w:t>
      </w:r>
      <w:r w:rsidRPr="00B51DA9">
        <w:rPr>
          <w:sz w:val="28"/>
          <w:szCs w:val="28"/>
        </w:rPr>
        <w:t xml:space="preserve">. Так, частиною третьою статті 3 </w:t>
      </w:r>
      <w:r>
        <w:rPr>
          <w:sz w:val="28"/>
          <w:szCs w:val="28"/>
        </w:rPr>
        <w:t xml:space="preserve">законопроекту </w:t>
      </w:r>
      <w:r w:rsidRPr="00B51DA9">
        <w:rPr>
          <w:sz w:val="28"/>
          <w:szCs w:val="28"/>
        </w:rPr>
        <w:t xml:space="preserve">передбачається, що оснащення вузлами комерційного обліку будівель, що на день набрання чинності цим Законом були приєднані до зовнішніх інженерних мереж і не були оснащені такими вузлами обліку або такі вузли обліку на день набрання чинності цим Законом вийшли з ладу, зобов’язаний здійснити оператор зовнішніх інженерних мереж у </w:t>
      </w:r>
      <w:r w:rsidRPr="00B51DA9">
        <w:rPr>
          <w:sz w:val="28"/>
          <w:szCs w:val="28"/>
          <w:lang w:val="en-US"/>
        </w:rPr>
        <w:t>c</w:t>
      </w:r>
      <w:r w:rsidRPr="00B51DA9">
        <w:rPr>
          <w:sz w:val="28"/>
          <w:szCs w:val="28"/>
        </w:rPr>
        <w:t xml:space="preserve">трок: теплової енергії - протягом року з дня набрання чинності цим Законом; гарячої та питної води - протягом двох років з дня набрання чинності цим Законом. </w:t>
      </w:r>
    </w:p>
    <w:p w:rsidR="007465BF" w:rsidRPr="00B51DA9" w:rsidRDefault="007465BF" w:rsidP="00B51DA9">
      <w:pPr>
        <w:pStyle w:val="StyleZakonu"/>
        <w:tabs>
          <w:tab w:val="left" w:pos="993"/>
        </w:tabs>
        <w:spacing w:after="120" w:line="240" w:lineRule="auto"/>
        <w:ind w:firstLine="709"/>
        <w:rPr>
          <w:b/>
          <w:sz w:val="28"/>
          <w:szCs w:val="28"/>
        </w:rPr>
      </w:pPr>
      <w:r w:rsidRPr="00B51DA9">
        <w:rPr>
          <w:sz w:val="28"/>
          <w:szCs w:val="28"/>
        </w:rPr>
        <w:t xml:space="preserve">Отже, зазначені норми мали б стати </w:t>
      </w:r>
      <w:r>
        <w:rPr>
          <w:sz w:val="28"/>
          <w:szCs w:val="28"/>
        </w:rPr>
        <w:t>складовою</w:t>
      </w:r>
      <w:r w:rsidRPr="00B51DA9">
        <w:rPr>
          <w:sz w:val="28"/>
          <w:szCs w:val="28"/>
        </w:rPr>
        <w:t xml:space="preserve"> розділу </w:t>
      </w:r>
      <w:r w:rsidRPr="00B51DA9">
        <w:rPr>
          <w:sz w:val="28"/>
          <w:szCs w:val="28"/>
          <w:lang w:val="en-US"/>
        </w:rPr>
        <w:t>IV</w:t>
      </w:r>
      <w:r w:rsidRPr="00B51DA9">
        <w:rPr>
          <w:sz w:val="28"/>
          <w:szCs w:val="28"/>
        </w:rPr>
        <w:t xml:space="preserve"> “Прикінцеві та перехідні положення”.</w:t>
      </w:r>
    </w:p>
    <w:p w:rsidR="007465BF" w:rsidRPr="00B51DA9" w:rsidRDefault="007465BF" w:rsidP="00C23A61">
      <w:pPr>
        <w:pStyle w:val="StyleZakonu"/>
        <w:numPr>
          <w:ilvl w:val="0"/>
          <w:numId w:val="7"/>
        </w:numPr>
        <w:tabs>
          <w:tab w:val="left" w:pos="993"/>
        </w:tabs>
        <w:spacing w:after="120" w:line="240" w:lineRule="auto"/>
        <w:ind w:left="0" w:firstLine="709"/>
        <w:rPr>
          <w:sz w:val="28"/>
          <w:szCs w:val="28"/>
        </w:rPr>
      </w:pPr>
      <w:r w:rsidRPr="00B51DA9">
        <w:rPr>
          <w:sz w:val="28"/>
          <w:szCs w:val="28"/>
        </w:rPr>
        <w:t xml:space="preserve"> Пунктом 6 розділу </w:t>
      </w:r>
      <w:r w:rsidRPr="00B51DA9">
        <w:rPr>
          <w:sz w:val="28"/>
          <w:szCs w:val="28"/>
          <w:lang w:val="en-US"/>
        </w:rPr>
        <w:t>IV</w:t>
      </w:r>
      <w:r w:rsidRPr="00B51DA9">
        <w:rPr>
          <w:sz w:val="28"/>
          <w:szCs w:val="28"/>
        </w:rPr>
        <w:t xml:space="preserve"> “Прикінцеві та перехідні положення” передбачається надати доручення Національній комісії, що здійснює державне регулювання у сферах енергетики та комунальних послуг</w:t>
      </w:r>
      <w:r>
        <w:rPr>
          <w:sz w:val="28"/>
          <w:szCs w:val="28"/>
        </w:rPr>
        <w:t>,</w:t>
      </w:r>
      <w:r w:rsidRPr="00B51DA9">
        <w:rPr>
          <w:sz w:val="28"/>
          <w:szCs w:val="28"/>
        </w:rPr>
        <w:t xml:space="preserve"> та органам місцевого самоврядування протягом трьох місяців з дня опублікування цього Закону вчинити певні дії у сфері регулювання тарифів на послуги з постачання теплової енергії, гарячої води, централізованого водопостачання для суб’єктів природних монополій та суб’єктів, що провадять діяльність на суміжних ринках. Такий законодавчий підхід не враховує положень частини першої статті 140 Конституції України, за якою м</w:t>
      </w:r>
      <w:r w:rsidRPr="00B51DA9">
        <w:rPr>
          <w:rStyle w:val="st42"/>
          <w:sz w:val="28"/>
          <w:szCs w:val="28"/>
          <w:lang w:eastAsia="en-US"/>
        </w:rPr>
        <w:t xml:space="preserve">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а також статей 1, 5 Закону України </w:t>
      </w:r>
      <w:r w:rsidRPr="00B51DA9">
        <w:rPr>
          <w:sz w:val="28"/>
          <w:szCs w:val="28"/>
        </w:rPr>
        <w:t>“</w:t>
      </w:r>
      <w:r w:rsidRPr="00B51DA9">
        <w:rPr>
          <w:rStyle w:val="st24"/>
          <w:b w:val="0"/>
          <w:bCs/>
          <w:sz w:val="28"/>
          <w:szCs w:val="28"/>
        </w:rPr>
        <w:t>Про Національну комісію, що здійснює державне регулювання у сферах енергетики та комунальних послуг</w:t>
      </w:r>
      <w:r w:rsidRPr="00B51DA9">
        <w:rPr>
          <w:sz w:val="28"/>
          <w:szCs w:val="28"/>
        </w:rPr>
        <w:t>”</w:t>
      </w:r>
      <w:r w:rsidRPr="00B51DA9">
        <w:rPr>
          <w:rStyle w:val="st42"/>
          <w:sz w:val="28"/>
          <w:szCs w:val="28"/>
          <w:lang w:eastAsia="en-US"/>
        </w:rPr>
        <w:t xml:space="preserve">, за якими </w:t>
      </w:r>
      <w:r w:rsidRPr="00B51DA9">
        <w:rPr>
          <w:sz w:val="28"/>
          <w:szCs w:val="28"/>
        </w:rPr>
        <w:t>“</w:t>
      </w:r>
      <w:r>
        <w:rPr>
          <w:sz w:val="28"/>
          <w:szCs w:val="28"/>
        </w:rPr>
        <w:t>п</w:t>
      </w:r>
      <w:r w:rsidRPr="00B51DA9">
        <w:rPr>
          <w:rStyle w:val="st42"/>
          <w:sz w:val="28"/>
          <w:szCs w:val="28"/>
        </w:rPr>
        <w:t>ід час виконання своїх функцій та повноважень відповідно до закону Регулятор діє самостійно та незалежно від будь-якого іншого органу державної влади, іншого державного органу, органів місцевого самоврядування, їх посадових та службових осіб, суб’єктів господарювання</w:t>
      </w:r>
      <w:r w:rsidRPr="00B51DA9">
        <w:rPr>
          <w:sz w:val="28"/>
          <w:szCs w:val="28"/>
        </w:rPr>
        <w:t>”</w:t>
      </w:r>
      <w:r w:rsidRPr="00B51DA9">
        <w:rPr>
          <w:rStyle w:val="st42"/>
          <w:sz w:val="28"/>
          <w:szCs w:val="28"/>
        </w:rPr>
        <w:t xml:space="preserve">, </w:t>
      </w:r>
      <w:r>
        <w:rPr>
          <w:rStyle w:val="st42"/>
          <w:sz w:val="28"/>
          <w:szCs w:val="28"/>
        </w:rPr>
        <w:t>тоді як</w:t>
      </w:r>
      <w:r w:rsidRPr="00B51DA9">
        <w:rPr>
          <w:rStyle w:val="st42"/>
          <w:sz w:val="28"/>
          <w:szCs w:val="28"/>
        </w:rPr>
        <w:t xml:space="preserve"> </w:t>
      </w:r>
      <w:r w:rsidRPr="00B51DA9">
        <w:rPr>
          <w:sz w:val="28"/>
          <w:szCs w:val="28"/>
        </w:rPr>
        <w:t>“</w:t>
      </w:r>
      <w:r w:rsidRPr="00B51DA9">
        <w:rPr>
          <w:rStyle w:val="st42"/>
          <w:sz w:val="28"/>
          <w:szCs w:val="28"/>
        </w:rPr>
        <w:t>органам державної влади, органам місцевого самоврядування, їх посадовим і службовим особам, суб’єктам господарювання, політичним партіям, громадським об’єднанням, професійним спілкам та їх органам забороняється втручатися у процеси державного регулювання у сферах енергетики та комунальних послуг</w:t>
      </w:r>
      <w:r w:rsidRPr="00B51DA9">
        <w:rPr>
          <w:sz w:val="28"/>
          <w:szCs w:val="28"/>
        </w:rPr>
        <w:t>”</w:t>
      </w:r>
      <w:r w:rsidRPr="00B51DA9">
        <w:rPr>
          <w:rStyle w:val="st42"/>
          <w:sz w:val="28"/>
          <w:szCs w:val="28"/>
        </w:rPr>
        <w:t>.</w:t>
      </w:r>
    </w:p>
    <w:p w:rsidR="007465BF" w:rsidRPr="00B51DA9" w:rsidRDefault="007465BF" w:rsidP="00DD511B">
      <w:pPr>
        <w:tabs>
          <w:tab w:val="left" w:pos="993"/>
        </w:tabs>
        <w:ind w:firstLine="709"/>
        <w:rPr>
          <w:sz w:val="28"/>
          <w:szCs w:val="28"/>
        </w:rPr>
      </w:pPr>
    </w:p>
    <w:p w:rsidR="007465BF" w:rsidRPr="00B51DA9" w:rsidRDefault="007465BF" w:rsidP="00DC7E2A">
      <w:pPr>
        <w:spacing w:after="60"/>
        <w:ind w:firstLine="709"/>
        <w:jc w:val="both"/>
        <w:rPr>
          <w:sz w:val="28"/>
          <w:szCs w:val="28"/>
        </w:rPr>
      </w:pPr>
      <w:r w:rsidRPr="00B51DA9">
        <w:rPr>
          <w:b/>
          <w:sz w:val="28"/>
          <w:szCs w:val="28"/>
        </w:rPr>
        <w:t>Узагальнюючий висновок:</w:t>
      </w:r>
      <w:r w:rsidRPr="00B51DA9">
        <w:rPr>
          <w:sz w:val="28"/>
          <w:szCs w:val="28"/>
        </w:rPr>
        <w:t xml:space="preserve"> законопроект може бути прийнятий у другому читанні за умови врахування викладених зауважень.</w:t>
      </w:r>
    </w:p>
    <w:p w:rsidR="007465BF" w:rsidRPr="00DC7E2A" w:rsidRDefault="007465BF" w:rsidP="00DC7E2A">
      <w:pPr>
        <w:spacing w:after="60"/>
        <w:rPr>
          <w:sz w:val="28"/>
          <w:szCs w:val="28"/>
        </w:rPr>
      </w:pPr>
    </w:p>
    <w:p w:rsidR="007465BF" w:rsidRPr="00DC7E2A" w:rsidRDefault="007465BF" w:rsidP="00DC7E2A">
      <w:pPr>
        <w:rPr>
          <w:b/>
          <w:sz w:val="28"/>
          <w:szCs w:val="28"/>
        </w:rPr>
      </w:pPr>
      <w:r w:rsidRPr="00DC7E2A">
        <w:rPr>
          <w:b/>
          <w:sz w:val="28"/>
          <w:szCs w:val="28"/>
        </w:rPr>
        <w:t>Заступник керівника</w:t>
      </w:r>
    </w:p>
    <w:p w:rsidR="007465BF" w:rsidRPr="00DC7E2A" w:rsidRDefault="007465BF" w:rsidP="00DC7E2A">
      <w:pPr>
        <w:rPr>
          <w:b/>
          <w:sz w:val="28"/>
          <w:szCs w:val="28"/>
        </w:rPr>
      </w:pPr>
      <w:r w:rsidRPr="00DC7E2A">
        <w:rPr>
          <w:b/>
          <w:sz w:val="28"/>
          <w:szCs w:val="28"/>
        </w:rPr>
        <w:t xml:space="preserve">Головного управління </w:t>
      </w:r>
      <w:r w:rsidRPr="00DC7E2A">
        <w:rPr>
          <w:b/>
          <w:sz w:val="28"/>
          <w:szCs w:val="28"/>
        </w:rPr>
        <w:tab/>
      </w:r>
      <w:r w:rsidRPr="00DC7E2A">
        <w:rPr>
          <w:b/>
          <w:sz w:val="28"/>
          <w:szCs w:val="28"/>
        </w:rPr>
        <w:tab/>
      </w:r>
      <w:r w:rsidRPr="00DC7E2A">
        <w:rPr>
          <w:b/>
          <w:sz w:val="28"/>
          <w:szCs w:val="28"/>
        </w:rPr>
        <w:tab/>
      </w:r>
      <w:r w:rsidRPr="00DC7E2A">
        <w:rPr>
          <w:b/>
          <w:sz w:val="28"/>
          <w:szCs w:val="28"/>
        </w:rPr>
        <w:tab/>
      </w:r>
      <w:r w:rsidRPr="00DC7E2A">
        <w:rPr>
          <w:b/>
          <w:sz w:val="28"/>
          <w:szCs w:val="28"/>
        </w:rPr>
        <w:tab/>
        <w:t xml:space="preserve"> </w:t>
      </w:r>
      <w:r>
        <w:rPr>
          <w:b/>
          <w:sz w:val="28"/>
          <w:szCs w:val="28"/>
        </w:rPr>
        <w:tab/>
      </w:r>
      <w:r w:rsidRPr="00DC7E2A">
        <w:rPr>
          <w:b/>
          <w:sz w:val="28"/>
          <w:szCs w:val="28"/>
        </w:rPr>
        <w:t>В. МІЛОВАНОВ</w:t>
      </w:r>
    </w:p>
    <w:p w:rsidR="007465BF" w:rsidRPr="00DC7E2A" w:rsidRDefault="007465BF" w:rsidP="00DD511B">
      <w:pPr>
        <w:tabs>
          <w:tab w:val="left" w:pos="993"/>
        </w:tabs>
        <w:ind w:firstLine="709"/>
        <w:rPr>
          <w:sz w:val="28"/>
          <w:szCs w:val="28"/>
        </w:rPr>
      </w:pPr>
    </w:p>
    <w:sectPr w:rsidR="007465BF" w:rsidRPr="00DC7E2A" w:rsidSect="00DD511B">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5BF" w:rsidRDefault="007465BF" w:rsidP="00BB560F">
      <w:r>
        <w:separator/>
      </w:r>
    </w:p>
  </w:endnote>
  <w:endnote w:type="continuationSeparator" w:id="0">
    <w:p w:rsidR="007465BF" w:rsidRDefault="007465BF" w:rsidP="00BB56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5BF" w:rsidRDefault="007465BF" w:rsidP="00BB560F">
      <w:r>
        <w:separator/>
      </w:r>
    </w:p>
  </w:footnote>
  <w:footnote w:type="continuationSeparator" w:id="0">
    <w:p w:rsidR="007465BF" w:rsidRDefault="007465BF" w:rsidP="00BB56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BF" w:rsidRDefault="007465BF">
    <w:pPr>
      <w:pStyle w:val="Header"/>
      <w:jc w:val="right"/>
    </w:pPr>
    <w:fldSimple w:instr="PAGE   \* MERGEFORMAT">
      <w:r>
        <w:rPr>
          <w:noProof/>
        </w:rPr>
        <w:t>5</w:t>
      </w:r>
    </w:fldSimple>
  </w:p>
  <w:p w:rsidR="007465BF" w:rsidRDefault="007465B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37984542"/>
    <w:lvl w:ilvl="0">
      <w:start w:val="1"/>
      <w:numFmt w:val="decimal"/>
      <w:lvlText w:val="%1."/>
      <w:lvlJc w:val="left"/>
      <w:pPr>
        <w:tabs>
          <w:tab w:val="num" w:pos="360"/>
        </w:tabs>
        <w:ind w:left="360" w:hanging="360"/>
      </w:pPr>
      <w:rPr>
        <w:rFonts w:cs="Times New Roman"/>
      </w:rPr>
    </w:lvl>
  </w:abstractNum>
  <w:abstractNum w:abstractNumId="1">
    <w:nsid w:val="0ECE2F94"/>
    <w:multiLevelType w:val="hybridMultilevel"/>
    <w:tmpl w:val="145C8270"/>
    <w:lvl w:ilvl="0" w:tplc="1EDC2386">
      <w:start w:val="3"/>
      <w:numFmt w:val="decimal"/>
      <w:lvlText w:val="%1."/>
      <w:lvlJc w:val="left"/>
      <w:pPr>
        <w:ind w:left="1146" w:hanging="360"/>
      </w:pPr>
      <w:rPr>
        <w:rFonts w:cs="Times New Roman" w:hint="default"/>
        <w:color w:val="000000"/>
      </w:rPr>
    </w:lvl>
    <w:lvl w:ilvl="1" w:tplc="04220019" w:tentative="1">
      <w:start w:val="1"/>
      <w:numFmt w:val="lowerLetter"/>
      <w:lvlText w:val="%2."/>
      <w:lvlJc w:val="left"/>
      <w:pPr>
        <w:ind w:left="1866" w:hanging="360"/>
      </w:pPr>
      <w:rPr>
        <w:rFonts w:cs="Times New Roman"/>
      </w:rPr>
    </w:lvl>
    <w:lvl w:ilvl="2" w:tplc="0422001B" w:tentative="1">
      <w:start w:val="1"/>
      <w:numFmt w:val="lowerRoman"/>
      <w:lvlText w:val="%3."/>
      <w:lvlJc w:val="right"/>
      <w:pPr>
        <w:ind w:left="2586" w:hanging="180"/>
      </w:pPr>
      <w:rPr>
        <w:rFonts w:cs="Times New Roman"/>
      </w:rPr>
    </w:lvl>
    <w:lvl w:ilvl="3" w:tplc="0422000F" w:tentative="1">
      <w:start w:val="1"/>
      <w:numFmt w:val="decimal"/>
      <w:lvlText w:val="%4."/>
      <w:lvlJc w:val="left"/>
      <w:pPr>
        <w:ind w:left="3306" w:hanging="360"/>
      </w:pPr>
      <w:rPr>
        <w:rFonts w:cs="Times New Roman"/>
      </w:rPr>
    </w:lvl>
    <w:lvl w:ilvl="4" w:tplc="04220019" w:tentative="1">
      <w:start w:val="1"/>
      <w:numFmt w:val="lowerLetter"/>
      <w:lvlText w:val="%5."/>
      <w:lvlJc w:val="left"/>
      <w:pPr>
        <w:ind w:left="4026" w:hanging="360"/>
      </w:pPr>
      <w:rPr>
        <w:rFonts w:cs="Times New Roman"/>
      </w:rPr>
    </w:lvl>
    <w:lvl w:ilvl="5" w:tplc="0422001B" w:tentative="1">
      <w:start w:val="1"/>
      <w:numFmt w:val="lowerRoman"/>
      <w:lvlText w:val="%6."/>
      <w:lvlJc w:val="right"/>
      <w:pPr>
        <w:ind w:left="4746" w:hanging="180"/>
      </w:pPr>
      <w:rPr>
        <w:rFonts w:cs="Times New Roman"/>
      </w:rPr>
    </w:lvl>
    <w:lvl w:ilvl="6" w:tplc="0422000F" w:tentative="1">
      <w:start w:val="1"/>
      <w:numFmt w:val="decimal"/>
      <w:lvlText w:val="%7."/>
      <w:lvlJc w:val="left"/>
      <w:pPr>
        <w:ind w:left="5466" w:hanging="360"/>
      </w:pPr>
      <w:rPr>
        <w:rFonts w:cs="Times New Roman"/>
      </w:rPr>
    </w:lvl>
    <w:lvl w:ilvl="7" w:tplc="04220019" w:tentative="1">
      <w:start w:val="1"/>
      <w:numFmt w:val="lowerLetter"/>
      <w:lvlText w:val="%8."/>
      <w:lvlJc w:val="left"/>
      <w:pPr>
        <w:ind w:left="6186" w:hanging="360"/>
      </w:pPr>
      <w:rPr>
        <w:rFonts w:cs="Times New Roman"/>
      </w:rPr>
    </w:lvl>
    <w:lvl w:ilvl="8" w:tplc="0422001B" w:tentative="1">
      <w:start w:val="1"/>
      <w:numFmt w:val="lowerRoman"/>
      <w:lvlText w:val="%9."/>
      <w:lvlJc w:val="right"/>
      <w:pPr>
        <w:ind w:left="6906" w:hanging="180"/>
      </w:pPr>
      <w:rPr>
        <w:rFonts w:cs="Times New Roman"/>
      </w:rPr>
    </w:lvl>
  </w:abstractNum>
  <w:abstractNum w:abstractNumId="2">
    <w:nsid w:val="17CD564C"/>
    <w:multiLevelType w:val="hybridMultilevel"/>
    <w:tmpl w:val="5CFCC484"/>
    <w:lvl w:ilvl="0" w:tplc="AF028C06">
      <w:start w:val="3"/>
      <w:numFmt w:val="decimal"/>
      <w:lvlText w:val="%1."/>
      <w:lvlJc w:val="left"/>
      <w:pPr>
        <w:ind w:left="1146" w:hanging="360"/>
      </w:pPr>
      <w:rPr>
        <w:rFonts w:cs="Times New Roman" w:hint="default"/>
        <w:b w:val="0"/>
        <w:color w:val="000000"/>
      </w:rPr>
    </w:lvl>
    <w:lvl w:ilvl="1" w:tplc="04220019" w:tentative="1">
      <w:start w:val="1"/>
      <w:numFmt w:val="lowerLetter"/>
      <w:lvlText w:val="%2."/>
      <w:lvlJc w:val="left"/>
      <w:pPr>
        <w:ind w:left="1866" w:hanging="360"/>
      </w:pPr>
      <w:rPr>
        <w:rFonts w:cs="Times New Roman"/>
      </w:rPr>
    </w:lvl>
    <w:lvl w:ilvl="2" w:tplc="0422001B" w:tentative="1">
      <w:start w:val="1"/>
      <w:numFmt w:val="lowerRoman"/>
      <w:lvlText w:val="%3."/>
      <w:lvlJc w:val="right"/>
      <w:pPr>
        <w:ind w:left="2586" w:hanging="180"/>
      </w:pPr>
      <w:rPr>
        <w:rFonts w:cs="Times New Roman"/>
      </w:rPr>
    </w:lvl>
    <w:lvl w:ilvl="3" w:tplc="0422000F" w:tentative="1">
      <w:start w:val="1"/>
      <w:numFmt w:val="decimal"/>
      <w:lvlText w:val="%4."/>
      <w:lvlJc w:val="left"/>
      <w:pPr>
        <w:ind w:left="3306" w:hanging="360"/>
      </w:pPr>
      <w:rPr>
        <w:rFonts w:cs="Times New Roman"/>
      </w:rPr>
    </w:lvl>
    <w:lvl w:ilvl="4" w:tplc="04220019" w:tentative="1">
      <w:start w:val="1"/>
      <w:numFmt w:val="lowerLetter"/>
      <w:lvlText w:val="%5."/>
      <w:lvlJc w:val="left"/>
      <w:pPr>
        <w:ind w:left="4026" w:hanging="360"/>
      </w:pPr>
      <w:rPr>
        <w:rFonts w:cs="Times New Roman"/>
      </w:rPr>
    </w:lvl>
    <w:lvl w:ilvl="5" w:tplc="0422001B" w:tentative="1">
      <w:start w:val="1"/>
      <w:numFmt w:val="lowerRoman"/>
      <w:lvlText w:val="%6."/>
      <w:lvlJc w:val="right"/>
      <w:pPr>
        <w:ind w:left="4746" w:hanging="180"/>
      </w:pPr>
      <w:rPr>
        <w:rFonts w:cs="Times New Roman"/>
      </w:rPr>
    </w:lvl>
    <w:lvl w:ilvl="6" w:tplc="0422000F" w:tentative="1">
      <w:start w:val="1"/>
      <w:numFmt w:val="decimal"/>
      <w:lvlText w:val="%7."/>
      <w:lvlJc w:val="left"/>
      <w:pPr>
        <w:ind w:left="5466" w:hanging="360"/>
      </w:pPr>
      <w:rPr>
        <w:rFonts w:cs="Times New Roman"/>
      </w:rPr>
    </w:lvl>
    <w:lvl w:ilvl="7" w:tplc="04220019" w:tentative="1">
      <w:start w:val="1"/>
      <w:numFmt w:val="lowerLetter"/>
      <w:lvlText w:val="%8."/>
      <w:lvlJc w:val="left"/>
      <w:pPr>
        <w:ind w:left="6186" w:hanging="360"/>
      </w:pPr>
      <w:rPr>
        <w:rFonts w:cs="Times New Roman"/>
      </w:rPr>
    </w:lvl>
    <w:lvl w:ilvl="8" w:tplc="0422001B" w:tentative="1">
      <w:start w:val="1"/>
      <w:numFmt w:val="lowerRoman"/>
      <w:lvlText w:val="%9."/>
      <w:lvlJc w:val="right"/>
      <w:pPr>
        <w:ind w:left="6906" w:hanging="180"/>
      </w:pPr>
      <w:rPr>
        <w:rFonts w:cs="Times New Roman"/>
      </w:rPr>
    </w:lvl>
  </w:abstractNum>
  <w:abstractNum w:abstractNumId="3">
    <w:nsid w:val="1DF60EAC"/>
    <w:multiLevelType w:val="hybridMultilevel"/>
    <w:tmpl w:val="565444EE"/>
    <w:lvl w:ilvl="0" w:tplc="90B6288E">
      <w:start w:val="4"/>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nsid w:val="770B21A7"/>
    <w:multiLevelType w:val="hybridMultilevel"/>
    <w:tmpl w:val="16FE82FE"/>
    <w:lvl w:ilvl="0" w:tplc="0422000F">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num w:numId="1">
    <w:abstractNumId w:val="0"/>
  </w:num>
  <w:num w:numId="2">
    <w:abstractNumId w:val="0"/>
  </w:num>
  <w:num w:numId="3">
    <w:abstractNumId w:val="4"/>
  </w:num>
  <w:num w:numId="4">
    <w:abstractNumId w:val="0"/>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6640C"/>
    <w:rsid w:val="000204E4"/>
    <w:rsid w:val="00130AE7"/>
    <w:rsid w:val="00202667"/>
    <w:rsid w:val="002C3135"/>
    <w:rsid w:val="003153F3"/>
    <w:rsid w:val="003B6325"/>
    <w:rsid w:val="00414E2F"/>
    <w:rsid w:val="004B42F1"/>
    <w:rsid w:val="004C12CE"/>
    <w:rsid w:val="004F375E"/>
    <w:rsid w:val="005204CF"/>
    <w:rsid w:val="005308ED"/>
    <w:rsid w:val="00573181"/>
    <w:rsid w:val="005C6D38"/>
    <w:rsid w:val="005D3ADB"/>
    <w:rsid w:val="006C1C7E"/>
    <w:rsid w:val="00714373"/>
    <w:rsid w:val="0074323F"/>
    <w:rsid w:val="007465BF"/>
    <w:rsid w:val="00797CE8"/>
    <w:rsid w:val="008A56C3"/>
    <w:rsid w:val="00924DE7"/>
    <w:rsid w:val="009B05A7"/>
    <w:rsid w:val="009C2EF7"/>
    <w:rsid w:val="00A1081E"/>
    <w:rsid w:val="00A171BF"/>
    <w:rsid w:val="00A23768"/>
    <w:rsid w:val="00B51DA9"/>
    <w:rsid w:val="00BB560F"/>
    <w:rsid w:val="00C23A61"/>
    <w:rsid w:val="00C50546"/>
    <w:rsid w:val="00D10FE0"/>
    <w:rsid w:val="00D27B7E"/>
    <w:rsid w:val="00D6640C"/>
    <w:rsid w:val="00DC7E2A"/>
    <w:rsid w:val="00DD511B"/>
    <w:rsid w:val="00DF5C3F"/>
    <w:rsid w:val="00E140D8"/>
    <w:rsid w:val="00E50669"/>
    <w:rsid w:val="00E67B7A"/>
    <w:rsid w:val="00EB00F5"/>
    <w:rsid w:val="00EE04CA"/>
    <w:rsid w:val="00F0641D"/>
    <w:rsid w:val="00F06B04"/>
    <w:rsid w:val="00F83A13"/>
    <w:rsid w:val="00FE188E"/>
    <w:rsid w:val="00FE1C0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List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40C"/>
    <w:rPr>
      <w:rFonts w:eastAsia="Times New Roman"/>
      <w:sz w:val="20"/>
      <w:szCs w:val="20"/>
      <w:lang w:val="uk-UA" w:eastAsia="ru-RU"/>
    </w:rPr>
  </w:style>
  <w:style w:type="paragraph" w:styleId="Heading1">
    <w:name w:val="heading 1"/>
    <w:basedOn w:val="Normal"/>
    <w:next w:val="Normal"/>
    <w:link w:val="Heading1Char"/>
    <w:uiPriority w:val="99"/>
    <w:qFormat/>
    <w:rsid w:val="00A1081E"/>
    <w:pPr>
      <w:keepNext/>
      <w:autoSpaceDE w:val="0"/>
      <w:autoSpaceDN w:val="0"/>
      <w:jc w:val="center"/>
      <w:outlineLvl w:val="0"/>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081E"/>
    <w:rPr>
      <w:rFonts w:eastAsia="Times New Roman" w:cs="Times New Roman"/>
      <w:b/>
      <w:bCs/>
      <w:sz w:val="24"/>
      <w:szCs w:val="24"/>
      <w:lang w:eastAsia="ru-RU"/>
    </w:rPr>
  </w:style>
  <w:style w:type="paragraph" w:customStyle="1" w:styleId="StyleZakonu">
    <w:name w:val="StyleZakonu"/>
    <w:basedOn w:val="Normal"/>
    <w:uiPriority w:val="99"/>
    <w:rsid w:val="00D6640C"/>
    <w:pPr>
      <w:spacing w:after="60" w:line="220" w:lineRule="exact"/>
      <w:ind w:firstLine="284"/>
      <w:jc w:val="both"/>
    </w:pPr>
  </w:style>
  <w:style w:type="paragraph" w:styleId="Header">
    <w:name w:val="header"/>
    <w:basedOn w:val="Normal"/>
    <w:link w:val="HeaderChar"/>
    <w:uiPriority w:val="99"/>
    <w:rsid w:val="00BB560F"/>
    <w:pPr>
      <w:tabs>
        <w:tab w:val="center" w:pos="4819"/>
        <w:tab w:val="right" w:pos="9639"/>
      </w:tabs>
    </w:pPr>
  </w:style>
  <w:style w:type="character" w:customStyle="1" w:styleId="HeaderChar">
    <w:name w:val="Header Char"/>
    <w:basedOn w:val="DefaultParagraphFont"/>
    <w:link w:val="Header"/>
    <w:uiPriority w:val="99"/>
    <w:locked/>
    <w:rsid w:val="00BB560F"/>
    <w:rPr>
      <w:rFonts w:eastAsia="Times New Roman" w:cs="Times New Roman"/>
      <w:sz w:val="20"/>
      <w:szCs w:val="20"/>
      <w:lang w:eastAsia="ru-RU"/>
    </w:rPr>
  </w:style>
  <w:style w:type="paragraph" w:styleId="Footer">
    <w:name w:val="footer"/>
    <w:basedOn w:val="Normal"/>
    <w:link w:val="FooterChar"/>
    <w:uiPriority w:val="99"/>
    <w:rsid w:val="00BB560F"/>
    <w:pPr>
      <w:tabs>
        <w:tab w:val="center" w:pos="4819"/>
        <w:tab w:val="right" w:pos="9639"/>
      </w:tabs>
    </w:pPr>
  </w:style>
  <w:style w:type="character" w:customStyle="1" w:styleId="FooterChar">
    <w:name w:val="Footer Char"/>
    <w:basedOn w:val="DefaultParagraphFont"/>
    <w:link w:val="Footer"/>
    <w:uiPriority w:val="99"/>
    <w:locked/>
    <w:rsid w:val="00BB560F"/>
    <w:rPr>
      <w:rFonts w:eastAsia="Times New Roman" w:cs="Times New Roman"/>
      <w:sz w:val="20"/>
      <w:szCs w:val="20"/>
      <w:lang w:eastAsia="ru-RU"/>
    </w:rPr>
  </w:style>
  <w:style w:type="paragraph" w:styleId="ListParagraph">
    <w:name w:val="List Paragraph"/>
    <w:basedOn w:val="Normal"/>
    <w:uiPriority w:val="99"/>
    <w:qFormat/>
    <w:rsid w:val="00BB560F"/>
    <w:pPr>
      <w:ind w:left="720"/>
      <w:contextualSpacing/>
    </w:pPr>
  </w:style>
  <w:style w:type="character" w:customStyle="1" w:styleId="st42">
    <w:name w:val="st42"/>
    <w:uiPriority w:val="99"/>
    <w:rsid w:val="009B05A7"/>
    <w:rPr>
      <w:rFonts w:ascii="Times New Roman" w:hAnsi="Times New Roman"/>
      <w:color w:val="000000"/>
    </w:rPr>
  </w:style>
  <w:style w:type="paragraph" w:customStyle="1" w:styleId="st0">
    <w:name w:val="st0"/>
    <w:uiPriority w:val="99"/>
    <w:rsid w:val="004F375E"/>
    <w:pPr>
      <w:autoSpaceDE w:val="0"/>
      <w:autoSpaceDN w:val="0"/>
      <w:adjustRightInd w:val="0"/>
      <w:spacing w:after="150"/>
      <w:ind w:left="450"/>
      <w:jc w:val="both"/>
    </w:pPr>
    <w:rPr>
      <w:rFonts w:ascii="Courier New" w:hAnsi="Courier New" w:cs="Courier New"/>
      <w:sz w:val="24"/>
      <w:szCs w:val="24"/>
      <w:lang w:val="ru-RU"/>
    </w:rPr>
  </w:style>
  <w:style w:type="paragraph" w:customStyle="1" w:styleId="st2">
    <w:name w:val="st2"/>
    <w:uiPriority w:val="99"/>
    <w:rsid w:val="004F375E"/>
    <w:pPr>
      <w:autoSpaceDE w:val="0"/>
      <w:autoSpaceDN w:val="0"/>
      <w:adjustRightInd w:val="0"/>
      <w:spacing w:after="150"/>
      <w:ind w:firstLine="450"/>
      <w:jc w:val="both"/>
    </w:pPr>
    <w:rPr>
      <w:rFonts w:ascii="Courier New" w:hAnsi="Courier New" w:cs="Courier New"/>
      <w:sz w:val="24"/>
      <w:szCs w:val="24"/>
      <w:lang w:val="ru-RU"/>
    </w:rPr>
  </w:style>
  <w:style w:type="paragraph" w:styleId="ListNumber">
    <w:name w:val="List Number"/>
    <w:basedOn w:val="Normal"/>
    <w:uiPriority w:val="99"/>
    <w:rsid w:val="00A1081E"/>
    <w:pPr>
      <w:numPr>
        <w:numId w:val="3"/>
      </w:numPr>
      <w:tabs>
        <w:tab w:val="num" w:pos="1440"/>
      </w:tabs>
      <w:autoSpaceDE w:val="0"/>
      <w:autoSpaceDN w:val="0"/>
      <w:ind w:left="0" w:firstLine="0"/>
    </w:pPr>
    <w:rPr>
      <w:sz w:val="24"/>
      <w:szCs w:val="24"/>
    </w:rPr>
  </w:style>
  <w:style w:type="character" w:customStyle="1" w:styleId="st96">
    <w:name w:val="st96"/>
    <w:uiPriority w:val="99"/>
    <w:rsid w:val="00A1081E"/>
    <w:rPr>
      <w:rFonts w:ascii="Times New Roman" w:hAnsi="Times New Roman"/>
      <w:color w:val="0000FF"/>
    </w:rPr>
  </w:style>
  <w:style w:type="paragraph" w:customStyle="1" w:styleId="StyleFooter">
    <w:name w:val="StyleFooter"/>
    <w:basedOn w:val="Normal"/>
    <w:uiPriority w:val="99"/>
    <w:rsid w:val="00A1081E"/>
    <w:pPr>
      <w:spacing w:line="220" w:lineRule="exact"/>
    </w:pPr>
    <w:rPr>
      <w:sz w:val="10"/>
    </w:rPr>
  </w:style>
  <w:style w:type="paragraph" w:customStyle="1" w:styleId="st5">
    <w:name w:val="st5"/>
    <w:uiPriority w:val="99"/>
    <w:rsid w:val="000204E4"/>
    <w:pPr>
      <w:autoSpaceDE w:val="0"/>
      <w:autoSpaceDN w:val="0"/>
      <w:adjustRightInd w:val="0"/>
      <w:ind w:left="450" w:right="450"/>
      <w:jc w:val="center"/>
    </w:pPr>
    <w:rPr>
      <w:rFonts w:ascii="Courier New" w:hAnsi="Courier New" w:cs="Courier New"/>
      <w:sz w:val="24"/>
      <w:szCs w:val="24"/>
      <w:lang w:val="ru-RU"/>
    </w:rPr>
  </w:style>
  <w:style w:type="character" w:customStyle="1" w:styleId="st24">
    <w:name w:val="st24"/>
    <w:uiPriority w:val="99"/>
    <w:rsid w:val="00F0641D"/>
    <w:rPr>
      <w:rFonts w:ascii="Times New Roman" w:hAnsi="Times New Roman"/>
      <w:b/>
      <w:color w:val="000000"/>
      <w:sz w:val="32"/>
    </w:rPr>
  </w:style>
  <w:style w:type="character" w:styleId="Strong">
    <w:name w:val="Strong"/>
    <w:basedOn w:val="DefaultParagraphFont"/>
    <w:uiPriority w:val="99"/>
    <w:qFormat/>
    <w:rsid w:val="00D27B7E"/>
    <w:rPr>
      <w:rFonts w:cs="Times New Roman"/>
      <w:b/>
    </w:rPr>
  </w:style>
  <w:style w:type="paragraph" w:styleId="BodyTextIndent">
    <w:name w:val="Body Text Indent"/>
    <w:basedOn w:val="Normal"/>
    <w:link w:val="BodyTextIndentChar"/>
    <w:uiPriority w:val="99"/>
    <w:rsid w:val="00A171BF"/>
    <w:pPr>
      <w:spacing w:after="120"/>
      <w:ind w:left="283"/>
    </w:pPr>
    <w:rPr>
      <w:sz w:val="24"/>
      <w:szCs w:val="24"/>
      <w:lang w:val="ru-RU"/>
    </w:rPr>
  </w:style>
  <w:style w:type="character" w:customStyle="1" w:styleId="BodyTextIndentChar">
    <w:name w:val="Body Text Indent Char"/>
    <w:basedOn w:val="DefaultParagraphFont"/>
    <w:link w:val="BodyTextIndent"/>
    <w:uiPriority w:val="99"/>
    <w:locked/>
    <w:rsid w:val="00A171BF"/>
    <w:rPr>
      <w:rFonts w:eastAsia="Times New Roman" w:cs="Times New Roman"/>
      <w:sz w:val="24"/>
      <w:szCs w:val="24"/>
      <w:lang w:val="ru-RU" w:eastAsia="ru-RU"/>
    </w:rPr>
  </w:style>
  <w:style w:type="paragraph" w:customStyle="1" w:styleId="ParagraphStyle">
    <w:name w:val="Paragraph Style"/>
    <w:uiPriority w:val="99"/>
    <w:rsid w:val="00F06B04"/>
    <w:pPr>
      <w:autoSpaceDE w:val="0"/>
      <w:autoSpaceDN w:val="0"/>
      <w:adjustRightInd w:val="0"/>
    </w:pPr>
    <w:rPr>
      <w:rFonts w:ascii="Courier New" w:hAnsi="Courier New" w:cs="Courier New"/>
      <w:sz w:val="24"/>
      <w:szCs w:val="24"/>
      <w:lang w:val="ru-RU"/>
    </w:rPr>
  </w:style>
  <w:style w:type="character" w:customStyle="1" w:styleId="FontStyle">
    <w:name w:val="Font Style"/>
    <w:uiPriority w:val="99"/>
    <w:rsid w:val="00F06B04"/>
    <w:rPr>
      <w:color w:val="000000"/>
      <w:sz w:val="20"/>
    </w:rPr>
  </w:style>
  <w:style w:type="paragraph" w:customStyle="1" w:styleId="Nazva">
    <w:name w:val="Nazva"/>
    <w:basedOn w:val="Normal"/>
    <w:uiPriority w:val="99"/>
    <w:rsid w:val="00202667"/>
    <w:pPr>
      <w:jc w:val="center"/>
    </w:pPr>
    <w:rPr>
      <w:b/>
      <w:sz w:val="28"/>
      <w:szCs w:val="24"/>
    </w:rPr>
  </w:style>
  <w:style w:type="paragraph" w:styleId="BalloonText">
    <w:name w:val="Balloon Text"/>
    <w:basedOn w:val="Normal"/>
    <w:link w:val="BalloonTextChar"/>
    <w:uiPriority w:val="99"/>
    <w:semiHidden/>
    <w:rsid w:val="00B51DA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51DA9"/>
    <w:rPr>
      <w:rFonts w:ascii="Segoe UI"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7942574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1854</Words>
  <Characters>10570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OSCE</cp:lastModifiedBy>
  <cp:revision>3</cp:revision>
  <cp:lastPrinted>2017-04-03T12:51:00Z</cp:lastPrinted>
  <dcterms:created xsi:type="dcterms:W3CDTF">2017-04-03T12:53:00Z</dcterms:created>
  <dcterms:modified xsi:type="dcterms:W3CDTF">2017-04-03T13:37:00Z</dcterms:modified>
</cp:coreProperties>
</file>