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667" w:rsidRPr="00A23768" w:rsidRDefault="00202667" w:rsidP="00202667">
      <w:pPr>
        <w:ind w:right="85"/>
        <w:jc w:val="right"/>
        <w:rPr>
          <w:sz w:val="22"/>
          <w:szCs w:val="22"/>
        </w:rPr>
      </w:pPr>
      <w:r w:rsidRPr="00A23768">
        <w:rPr>
          <w:sz w:val="22"/>
          <w:szCs w:val="22"/>
        </w:rPr>
        <w:t xml:space="preserve">До реєстр. № </w:t>
      </w:r>
      <w:r>
        <w:t>4901 від 06.07.2016</w:t>
      </w:r>
    </w:p>
    <w:p w:rsidR="00202667" w:rsidRPr="0074323F" w:rsidRDefault="00202667" w:rsidP="00202667">
      <w:pPr>
        <w:ind w:right="85"/>
        <w:jc w:val="right"/>
        <w:rPr>
          <w:sz w:val="22"/>
          <w:szCs w:val="22"/>
        </w:rPr>
      </w:pPr>
      <w:r w:rsidRPr="0074323F">
        <w:rPr>
          <w:sz w:val="22"/>
          <w:szCs w:val="22"/>
        </w:rPr>
        <w:t>(</w:t>
      </w:r>
      <w:r w:rsidR="00012CA7">
        <w:rPr>
          <w:sz w:val="22"/>
          <w:szCs w:val="22"/>
        </w:rPr>
        <w:t xml:space="preserve">повторне </w:t>
      </w:r>
      <w:r w:rsidRPr="0074323F">
        <w:rPr>
          <w:sz w:val="22"/>
          <w:szCs w:val="22"/>
        </w:rPr>
        <w:t>друге читання)</w:t>
      </w:r>
    </w:p>
    <w:p w:rsidR="00202667" w:rsidRPr="00B51DA9" w:rsidRDefault="00202667" w:rsidP="00202667">
      <w:pPr>
        <w:jc w:val="center"/>
        <w:rPr>
          <w:b/>
          <w:sz w:val="28"/>
          <w:szCs w:val="28"/>
        </w:rPr>
      </w:pPr>
    </w:p>
    <w:p w:rsidR="00202667" w:rsidRPr="00B51DA9" w:rsidRDefault="00202667" w:rsidP="00202667">
      <w:pPr>
        <w:jc w:val="center"/>
        <w:rPr>
          <w:b/>
          <w:sz w:val="28"/>
          <w:szCs w:val="28"/>
        </w:rPr>
      </w:pPr>
    </w:p>
    <w:p w:rsidR="00202667" w:rsidRPr="00B51DA9" w:rsidRDefault="00202667" w:rsidP="00202667">
      <w:pPr>
        <w:jc w:val="center"/>
        <w:rPr>
          <w:b/>
          <w:sz w:val="28"/>
          <w:szCs w:val="28"/>
        </w:rPr>
      </w:pPr>
    </w:p>
    <w:p w:rsidR="00202667" w:rsidRPr="00B51DA9" w:rsidRDefault="00202667" w:rsidP="00202667">
      <w:pPr>
        <w:jc w:val="center"/>
        <w:rPr>
          <w:b/>
          <w:sz w:val="28"/>
          <w:szCs w:val="28"/>
        </w:rPr>
      </w:pPr>
    </w:p>
    <w:p w:rsidR="00202667" w:rsidRPr="00B51DA9" w:rsidRDefault="00202667" w:rsidP="00202667">
      <w:pPr>
        <w:jc w:val="center"/>
        <w:rPr>
          <w:b/>
          <w:sz w:val="28"/>
          <w:szCs w:val="28"/>
        </w:rPr>
      </w:pPr>
    </w:p>
    <w:p w:rsidR="00202667" w:rsidRPr="00B51DA9" w:rsidRDefault="00202667" w:rsidP="00202667">
      <w:pPr>
        <w:jc w:val="center"/>
        <w:rPr>
          <w:b/>
          <w:sz w:val="28"/>
          <w:szCs w:val="28"/>
        </w:rPr>
      </w:pPr>
    </w:p>
    <w:p w:rsidR="00202667" w:rsidRPr="00B51DA9" w:rsidRDefault="00202667" w:rsidP="00202667">
      <w:pPr>
        <w:jc w:val="center"/>
        <w:rPr>
          <w:b/>
          <w:sz w:val="28"/>
          <w:szCs w:val="28"/>
        </w:rPr>
      </w:pPr>
    </w:p>
    <w:p w:rsidR="00B51DA9" w:rsidRPr="00B51DA9" w:rsidRDefault="00B51DA9" w:rsidP="00202667">
      <w:pPr>
        <w:jc w:val="center"/>
        <w:rPr>
          <w:b/>
          <w:sz w:val="28"/>
          <w:szCs w:val="28"/>
        </w:rPr>
      </w:pPr>
    </w:p>
    <w:p w:rsidR="00202667" w:rsidRPr="00202667" w:rsidRDefault="00202667" w:rsidP="00E140D8">
      <w:pPr>
        <w:jc w:val="center"/>
        <w:rPr>
          <w:b/>
          <w:sz w:val="28"/>
          <w:szCs w:val="28"/>
        </w:rPr>
      </w:pPr>
      <w:r w:rsidRPr="00202667">
        <w:rPr>
          <w:b/>
          <w:sz w:val="28"/>
          <w:szCs w:val="28"/>
        </w:rPr>
        <w:t>ЗАУВАЖЕННЯ</w:t>
      </w:r>
    </w:p>
    <w:p w:rsidR="00202667" w:rsidRPr="00202667" w:rsidRDefault="00202667" w:rsidP="00E140D8">
      <w:pPr>
        <w:jc w:val="center"/>
        <w:rPr>
          <w:sz w:val="28"/>
          <w:szCs w:val="28"/>
        </w:rPr>
      </w:pPr>
      <w:r w:rsidRPr="00202667">
        <w:rPr>
          <w:sz w:val="28"/>
          <w:szCs w:val="28"/>
        </w:rPr>
        <w:t>до проекту Закону України</w:t>
      </w:r>
    </w:p>
    <w:p w:rsidR="00202667" w:rsidRPr="00202667" w:rsidRDefault="00202667" w:rsidP="00E140D8">
      <w:pPr>
        <w:ind w:firstLine="567"/>
        <w:jc w:val="center"/>
        <w:rPr>
          <w:sz w:val="28"/>
          <w:szCs w:val="28"/>
        </w:rPr>
      </w:pPr>
      <w:r w:rsidRPr="00202667">
        <w:rPr>
          <w:sz w:val="28"/>
          <w:szCs w:val="28"/>
        </w:rPr>
        <w:t>п</w:t>
      </w:r>
      <w:r w:rsidRPr="00202667">
        <w:rPr>
          <w:rStyle w:val="a9"/>
          <w:b w:val="0"/>
          <w:sz w:val="28"/>
          <w:szCs w:val="28"/>
        </w:rPr>
        <w:t>ро</w:t>
      </w:r>
      <w:r w:rsidRPr="00202667">
        <w:rPr>
          <w:sz w:val="28"/>
          <w:szCs w:val="28"/>
        </w:rPr>
        <w:t xml:space="preserve"> комерційний облік комунальних послуг</w:t>
      </w:r>
    </w:p>
    <w:p w:rsidR="00202667" w:rsidRPr="00202667" w:rsidRDefault="00202667" w:rsidP="00E140D8">
      <w:pPr>
        <w:jc w:val="center"/>
        <w:rPr>
          <w:b/>
          <w:sz w:val="28"/>
          <w:szCs w:val="28"/>
        </w:rPr>
      </w:pPr>
      <w:r w:rsidRPr="00202667">
        <w:rPr>
          <w:rStyle w:val="a9"/>
          <w:b w:val="0"/>
          <w:sz w:val="28"/>
          <w:szCs w:val="28"/>
        </w:rPr>
        <w:t>(реєстраційний № 4901</w:t>
      </w:r>
      <w:r w:rsidRPr="00202667">
        <w:rPr>
          <w:sz w:val="28"/>
          <w:szCs w:val="28"/>
        </w:rPr>
        <w:t>)</w:t>
      </w:r>
    </w:p>
    <w:p w:rsidR="00202667" w:rsidRPr="00202667" w:rsidRDefault="00202667" w:rsidP="00202667">
      <w:pPr>
        <w:jc w:val="center"/>
        <w:rPr>
          <w:sz w:val="28"/>
          <w:szCs w:val="28"/>
        </w:rPr>
      </w:pPr>
    </w:p>
    <w:p w:rsidR="00012CA7" w:rsidRPr="00012CA7" w:rsidRDefault="00202667" w:rsidP="00012CA7">
      <w:pPr>
        <w:spacing w:after="100"/>
        <w:ind w:firstLine="709"/>
        <w:jc w:val="both"/>
        <w:rPr>
          <w:sz w:val="28"/>
          <w:szCs w:val="28"/>
        </w:rPr>
      </w:pPr>
      <w:r w:rsidRPr="00B51DA9">
        <w:rPr>
          <w:sz w:val="28"/>
          <w:szCs w:val="28"/>
        </w:rPr>
        <w:t xml:space="preserve">У </w:t>
      </w:r>
      <w:r w:rsidR="00012CA7">
        <w:rPr>
          <w:sz w:val="28"/>
          <w:szCs w:val="28"/>
        </w:rPr>
        <w:t xml:space="preserve">Головному юридичному управлінні </w:t>
      </w:r>
      <w:r w:rsidR="00AF447C">
        <w:rPr>
          <w:sz w:val="28"/>
          <w:szCs w:val="28"/>
        </w:rPr>
        <w:t xml:space="preserve">повторно </w:t>
      </w:r>
      <w:r w:rsidRPr="00B51DA9">
        <w:rPr>
          <w:sz w:val="28"/>
          <w:szCs w:val="28"/>
        </w:rPr>
        <w:t xml:space="preserve">проаналізовано проект Закону України про </w:t>
      </w:r>
      <w:r w:rsidR="00DC7E2A" w:rsidRPr="00B51DA9">
        <w:rPr>
          <w:sz w:val="28"/>
          <w:szCs w:val="28"/>
        </w:rPr>
        <w:t xml:space="preserve">комерційний облік комунальних послуг </w:t>
      </w:r>
      <w:r w:rsidRPr="00B51DA9">
        <w:rPr>
          <w:sz w:val="28"/>
          <w:szCs w:val="28"/>
        </w:rPr>
        <w:t>(реєстр. №</w:t>
      </w:r>
      <w:r w:rsidR="00DC7E2A" w:rsidRPr="00B51DA9">
        <w:rPr>
          <w:sz w:val="28"/>
          <w:szCs w:val="28"/>
        </w:rPr>
        <w:t>490</w:t>
      </w:r>
      <w:r w:rsidRPr="00B51DA9">
        <w:rPr>
          <w:sz w:val="28"/>
          <w:szCs w:val="28"/>
        </w:rPr>
        <w:t xml:space="preserve">1), підготовлений Комітетом з питань </w:t>
      </w:r>
      <w:r w:rsidR="00DC7E2A" w:rsidRPr="00B51DA9">
        <w:rPr>
          <w:sz w:val="28"/>
          <w:szCs w:val="28"/>
        </w:rPr>
        <w:t>будівництва, містобудування і житлово-</w:t>
      </w:r>
      <w:r w:rsidR="00DC7E2A" w:rsidRPr="00012CA7">
        <w:rPr>
          <w:sz w:val="28"/>
          <w:szCs w:val="28"/>
        </w:rPr>
        <w:t xml:space="preserve">комунального господарства </w:t>
      </w:r>
      <w:r w:rsidRPr="00012CA7">
        <w:rPr>
          <w:sz w:val="28"/>
          <w:szCs w:val="28"/>
        </w:rPr>
        <w:t xml:space="preserve">для розгляду </w:t>
      </w:r>
      <w:r w:rsidR="00012CA7" w:rsidRPr="00012CA7">
        <w:rPr>
          <w:sz w:val="28"/>
          <w:szCs w:val="28"/>
        </w:rPr>
        <w:t>у повторному другому читанні.</w:t>
      </w:r>
    </w:p>
    <w:p w:rsidR="00DC7E2A" w:rsidRPr="00B51DA9" w:rsidRDefault="00DC7E2A" w:rsidP="002B2FF7">
      <w:pPr>
        <w:spacing w:after="100"/>
        <w:ind w:firstLine="709"/>
        <w:jc w:val="both"/>
        <w:rPr>
          <w:sz w:val="28"/>
          <w:szCs w:val="28"/>
        </w:rPr>
      </w:pPr>
      <w:r w:rsidRPr="00B51DA9">
        <w:rPr>
          <w:sz w:val="28"/>
          <w:szCs w:val="28"/>
        </w:rPr>
        <w:t>Поділяючи необхідність формування правових, економічних та організаційних засад забезпечення комерційного</w:t>
      </w:r>
      <w:r w:rsidR="00B51DA9">
        <w:rPr>
          <w:sz w:val="28"/>
          <w:szCs w:val="28"/>
        </w:rPr>
        <w:t>, у тому числі</w:t>
      </w:r>
      <w:r w:rsidRPr="00B51DA9">
        <w:rPr>
          <w:sz w:val="28"/>
          <w:szCs w:val="28"/>
        </w:rPr>
        <w:t xml:space="preserve"> розподільчого</w:t>
      </w:r>
      <w:r w:rsidR="00B51DA9">
        <w:rPr>
          <w:sz w:val="28"/>
          <w:szCs w:val="28"/>
        </w:rPr>
        <w:t>,</w:t>
      </w:r>
      <w:r w:rsidRPr="00B51DA9">
        <w:rPr>
          <w:sz w:val="28"/>
          <w:szCs w:val="28"/>
        </w:rPr>
        <w:t xml:space="preserve"> обліку комунальних послуг</w:t>
      </w:r>
      <w:r w:rsidR="003B6325">
        <w:rPr>
          <w:sz w:val="28"/>
          <w:szCs w:val="28"/>
        </w:rPr>
        <w:t xml:space="preserve"> </w:t>
      </w:r>
      <w:r w:rsidR="003B6325" w:rsidRPr="00C50546">
        <w:rPr>
          <w:sz w:val="28"/>
          <w:szCs w:val="28"/>
        </w:rPr>
        <w:t>та забезпечення відповідною обліковою інформацією споживачів таких послуг</w:t>
      </w:r>
      <w:r w:rsidRPr="00B51DA9">
        <w:rPr>
          <w:sz w:val="28"/>
          <w:szCs w:val="28"/>
        </w:rPr>
        <w:t>, Головне юридичне управління поділяє міркування, висловлені у висновку Головного науково-експертного управління від 07.09.2016 щодо необхідності удосконалення цього законопроекту, та вважає за необхідне звернути увагу на таке.</w:t>
      </w:r>
    </w:p>
    <w:p w:rsidR="00BB560F" w:rsidRPr="00B51DA9" w:rsidRDefault="00BB560F" w:rsidP="002B2FF7">
      <w:pPr>
        <w:pStyle w:val="a8"/>
        <w:numPr>
          <w:ilvl w:val="0"/>
          <w:numId w:val="1"/>
        </w:numPr>
        <w:tabs>
          <w:tab w:val="left" w:pos="993"/>
        </w:tabs>
        <w:spacing w:after="100"/>
        <w:ind w:left="0" w:firstLine="709"/>
        <w:jc w:val="both"/>
        <w:rPr>
          <w:sz w:val="28"/>
          <w:szCs w:val="28"/>
        </w:rPr>
      </w:pPr>
      <w:r w:rsidRPr="00B51DA9">
        <w:rPr>
          <w:sz w:val="28"/>
          <w:szCs w:val="28"/>
        </w:rPr>
        <w:t>Частиною першою статті 3 законопроекту передбачається, що оснащення будівель вузлами комерційного обліку та обладнанням інженерних систем для забезпечення такого обліку здійснюється відповідно до проектної документації з дотриманням будівельних норм і правил у порядку, встановленому центральним органом виконавчої влади, що забезпечує формування державної політики у сфері житлово-комунального господарства.</w:t>
      </w:r>
    </w:p>
    <w:p w:rsidR="00BB560F" w:rsidRPr="00B51DA9" w:rsidRDefault="00BB560F" w:rsidP="006B168C">
      <w:pPr>
        <w:tabs>
          <w:tab w:val="left" w:pos="0"/>
        </w:tabs>
        <w:spacing w:after="100"/>
        <w:ind w:firstLine="709"/>
        <w:jc w:val="both"/>
        <w:rPr>
          <w:sz w:val="28"/>
          <w:szCs w:val="28"/>
        </w:rPr>
      </w:pPr>
      <w:r w:rsidRPr="00B51DA9">
        <w:rPr>
          <w:sz w:val="28"/>
          <w:szCs w:val="28"/>
        </w:rPr>
        <w:t>Відтак, як вбачається, окремі питання, що передбачається врегулювати законопроектом, доцільно було б вирішити шляхом прийняття та внесення змін до підзаконних нормативно-правових актів з визначенням особливостей правових та організаційних засад регулювання відносин у сфері комерційного, у тому числі розподільного, обліку послуг з постачання теплової енергії, постачання гарячої води, централізованого водопостачання. Відтак, технічні вимоги до оснащення будівель вузлами комерційного обліку та відповідного обладнання інженерних систем мали б стати предметом регулювання національних стандартів України.</w:t>
      </w:r>
    </w:p>
    <w:tbl>
      <w:tblPr>
        <w:tblW w:w="9639" w:type="dxa"/>
        <w:tblLayout w:type="fixed"/>
        <w:tblCellMar>
          <w:left w:w="72" w:type="dxa"/>
          <w:right w:w="72" w:type="dxa"/>
        </w:tblCellMar>
        <w:tblLook w:val="0000" w:firstRow="0" w:lastRow="0" w:firstColumn="0" w:lastColumn="0" w:noHBand="0" w:noVBand="0"/>
      </w:tblPr>
      <w:tblGrid>
        <w:gridCol w:w="9639"/>
      </w:tblGrid>
      <w:tr w:rsidR="00BB560F" w:rsidRPr="00B51DA9" w:rsidTr="00BB560F">
        <w:tc>
          <w:tcPr>
            <w:tcW w:w="9639" w:type="dxa"/>
          </w:tcPr>
          <w:p w:rsidR="00BB4096" w:rsidRPr="00BB4096" w:rsidRDefault="00C23A61" w:rsidP="00BB4096">
            <w:pPr>
              <w:pStyle w:val="StyleZakonu"/>
              <w:numPr>
                <w:ilvl w:val="0"/>
                <w:numId w:val="1"/>
              </w:numPr>
              <w:spacing w:after="100" w:line="240" w:lineRule="auto"/>
              <w:ind w:left="-72" w:firstLine="858"/>
              <w:rPr>
                <w:sz w:val="28"/>
                <w:szCs w:val="28"/>
              </w:rPr>
            </w:pPr>
            <w:r w:rsidRPr="006B168C">
              <w:rPr>
                <w:bCs/>
                <w:color w:val="000000"/>
                <w:sz w:val="28"/>
                <w:szCs w:val="28"/>
                <w:lang w:eastAsia="uk-UA"/>
              </w:rPr>
              <w:t xml:space="preserve">Проектом (статті 1, 3, 4, 6) пропонується унормувати питання сплати споживачами комунальних послуг операторам зовнішніх інженерних мереж внесків за встановлення, обслуговування та заміну вузлів комерційного обліку як відшкодування понесених останніми витрат на оснащення будівель вузлами комерційного обліку. При цьому визначення </w:t>
            </w:r>
            <w:r w:rsidR="006B168C" w:rsidRPr="006B168C">
              <w:rPr>
                <w:bCs/>
                <w:color w:val="000000"/>
                <w:sz w:val="28"/>
                <w:szCs w:val="28"/>
                <w:lang w:eastAsia="uk-UA"/>
              </w:rPr>
              <w:t xml:space="preserve">розміру </w:t>
            </w:r>
            <w:r w:rsidR="006B168C" w:rsidRPr="006B168C">
              <w:rPr>
                <w:sz w:val="28"/>
                <w:szCs w:val="28"/>
              </w:rPr>
              <w:t>внесків за встановлення, обслуговування та заміну будинкових вузлів обліку споживачам комунальних послуг відповідної територіальної громади</w:t>
            </w:r>
            <w:r w:rsidR="006B168C" w:rsidRPr="006B168C">
              <w:rPr>
                <w:sz w:val="28"/>
                <w:szCs w:val="28"/>
              </w:rPr>
              <w:t xml:space="preserve"> </w:t>
            </w:r>
            <w:r w:rsidR="00BD7E9E">
              <w:rPr>
                <w:sz w:val="28"/>
                <w:szCs w:val="28"/>
              </w:rPr>
              <w:t>віднесено</w:t>
            </w:r>
            <w:r w:rsidR="006B168C" w:rsidRPr="006B168C">
              <w:rPr>
                <w:sz w:val="28"/>
                <w:szCs w:val="28"/>
              </w:rPr>
              <w:t xml:space="preserve"> до власних (самоврядних) повноважень </w:t>
            </w:r>
            <w:r w:rsidR="006B168C" w:rsidRPr="006B168C">
              <w:rPr>
                <w:rStyle w:val="st42"/>
                <w:sz w:val="28"/>
                <w:szCs w:val="28"/>
              </w:rPr>
              <w:t>виконавчих органів сільських</w:t>
            </w:r>
            <w:r w:rsidR="006B168C" w:rsidRPr="006B168C">
              <w:rPr>
                <w:rStyle w:val="st42"/>
                <w:sz w:val="28"/>
                <w:szCs w:val="28"/>
              </w:rPr>
              <w:t xml:space="preserve">, селищних, міських рад. </w:t>
            </w:r>
            <w:r w:rsidR="00BD7E9E">
              <w:rPr>
                <w:rStyle w:val="st42"/>
                <w:sz w:val="28"/>
                <w:szCs w:val="28"/>
              </w:rPr>
              <w:t>З</w:t>
            </w:r>
            <w:r w:rsidRPr="006B168C">
              <w:rPr>
                <w:bCs/>
                <w:color w:val="000000"/>
                <w:sz w:val="28"/>
                <w:szCs w:val="28"/>
                <w:lang w:eastAsia="uk-UA"/>
              </w:rPr>
              <w:t xml:space="preserve">а такого підходу, за відсутності у проекті норми щодо нормативного регулювання </w:t>
            </w:r>
            <w:r w:rsidR="006B168C" w:rsidRPr="006B168C">
              <w:rPr>
                <w:bCs/>
                <w:color w:val="000000"/>
                <w:sz w:val="28"/>
                <w:szCs w:val="28"/>
                <w:lang w:eastAsia="uk-UA"/>
              </w:rPr>
              <w:t xml:space="preserve">відповідним </w:t>
            </w:r>
            <w:r w:rsidR="00BB4096">
              <w:rPr>
                <w:bCs/>
                <w:color w:val="000000"/>
                <w:sz w:val="28"/>
                <w:szCs w:val="28"/>
                <w:lang w:eastAsia="uk-UA"/>
              </w:rPr>
              <w:t xml:space="preserve">державним </w:t>
            </w:r>
            <w:r w:rsidR="006B168C" w:rsidRPr="006B168C">
              <w:rPr>
                <w:bCs/>
                <w:color w:val="000000"/>
                <w:sz w:val="28"/>
                <w:szCs w:val="28"/>
                <w:lang w:eastAsia="uk-UA"/>
              </w:rPr>
              <w:t xml:space="preserve">органом </w:t>
            </w:r>
            <w:r w:rsidRPr="006B168C">
              <w:rPr>
                <w:bCs/>
                <w:color w:val="000000"/>
                <w:sz w:val="28"/>
                <w:szCs w:val="28"/>
                <w:lang w:eastAsia="uk-UA"/>
              </w:rPr>
              <w:t xml:space="preserve">цін на послуги щодо встановлення, обслуговування та заміну вузлів комерційного обліку </w:t>
            </w:r>
            <w:r w:rsidR="00BD7E9E">
              <w:rPr>
                <w:bCs/>
                <w:color w:val="000000"/>
                <w:sz w:val="28"/>
                <w:szCs w:val="28"/>
                <w:lang w:eastAsia="uk-UA"/>
              </w:rPr>
              <w:t>в</w:t>
            </w:r>
            <w:r w:rsidR="00BD7E9E" w:rsidRPr="006B168C">
              <w:rPr>
                <w:bCs/>
                <w:color w:val="000000"/>
                <w:sz w:val="28"/>
                <w:szCs w:val="28"/>
                <w:lang w:eastAsia="uk-UA"/>
              </w:rPr>
              <w:t xml:space="preserve">важаємо, що </w:t>
            </w:r>
            <w:r w:rsidR="00BB4096">
              <w:rPr>
                <w:bCs/>
                <w:color w:val="000000"/>
                <w:sz w:val="28"/>
                <w:szCs w:val="28"/>
                <w:lang w:eastAsia="uk-UA"/>
              </w:rPr>
              <w:t>законопроектом не встановлюються межі повноважень</w:t>
            </w:r>
            <w:r w:rsidR="00BD7E9E">
              <w:rPr>
                <w:bCs/>
                <w:color w:val="000000"/>
                <w:sz w:val="28"/>
                <w:szCs w:val="28"/>
                <w:lang w:eastAsia="uk-UA"/>
              </w:rPr>
              <w:t xml:space="preserve"> органів місцевого самоврядування</w:t>
            </w:r>
            <w:r w:rsidR="00BB4096">
              <w:rPr>
                <w:bCs/>
                <w:color w:val="000000"/>
                <w:sz w:val="28"/>
                <w:szCs w:val="28"/>
                <w:lang w:eastAsia="uk-UA"/>
              </w:rPr>
              <w:t xml:space="preserve">, що не враховує вимог частини другої статті 19 Конституції України, за якою </w:t>
            </w:r>
            <w:r w:rsidR="00BD7E9E">
              <w:rPr>
                <w:bCs/>
                <w:color w:val="000000"/>
                <w:sz w:val="28"/>
                <w:szCs w:val="28"/>
                <w:lang w:eastAsia="uk-UA"/>
              </w:rPr>
              <w:t xml:space="preserve">ці </w:t>
            </w:r>
            <w:r w:rsidR="00BB4096">
              <w:rPr>
                <w:bCs/>
                <w:color w:val="000000"/>
                <w:sz w:val="28"/>
                <w:szCs w:val="28"/>
                <w:lang w:eastAsia="uk-UA"/>
              </w:rPr>
              <w:t>органи, їх посадові особи зобов’язані діяти лише на підставі, в межах повноважень та у спосіб, що передбачені Конституцією та законами України.</w:t>
            </w:r>
            <w:bookmarkStart w:id="0" w:name="_GoBack"/>
            <w:bookmarkEnd w:id="0"/>
          </w:p>
          <w:p w:rsidR="00BB560F" w:rsidRPr="00B51DA9" w:rsidRDefault="00C23A61" w:rsidP="002B2FF7">
            <w:pPr>
              <w:pStyle w:val="StyleZakonu"/>
              <w:tabs>
                <w:tab w:val="left" w:pos="993"/>
              </w:tabs>
              <w:spacing w:after="100" w:line="240" w:lineRule="auto"/>
              <w:ind w:firstLine="709"/>
              <w:rPr>
                <w:sz w:val="28"/>
                <w:szCs w:val="28"/>
              </w:rPr>
            </w:pPr>
            <w:r>
              <w:rPr>
                <w:sz w:val="28"/>
                <w:szCs w:val="28"/>
              </w:rPr>
              <w:t xml:space="preserve">3. </w:t>
            </w:r>
            <w:r w:rsidR="00D6640C" w:rsidRPr="00B51DA9">
              <w:rPr>
                <w:sz w:val="28"/>
                <w:szCs w:val="28"/>
              </w:rPr>
              <w:t>Пунктом 3 частини першої статті 1 передбачається</w:t>
            </w:r>
            <w:r w:rsidR="00BB560F" w:rsidRPr="00B51DA9">
              <w:rPr>
                <w:sz w:val="28"/>
                <w:szCs w:val="28"/>
              </w:rPr>
              <w:t xml:space="preserve"> визначити правовий інститут </w:t>
            </w:r>
            <w:r w:rsidR="00D6640C" w:rsidRPr="00B51DA9">
              <w:rPr>
                <w:sz w:val="28"/>
                <w:szCs w:val="28"/>
              </w:rPr>
              <w:t>внеск</w:t>
            </w:r>
            <w:r w:rsidR="00BB560F" w:rsidRPr="00B51DA9">
              <w:rPr>
                <w:sz w:val="28"/>
                <w:szCs w:val="28"/>
              </w:rPr>
              <w:t>ів</w:t>
            </w:r>
            <w:r w:rsidR="00D6640C" w:rsidRPr="00B51DA9">
              <w:rPr>
                <w:sz w:val="28"/>
                <w:szCs w:val="28"/>
              </w:rPr>
              <w:t xml:space="preserve"> за встановлення, обслуговування та заміну вузлів комерційного обліку</w:t>
            </w:r>
            <w:r w:rsidR="00BB560F" w:rsidRPr="00B51DA9">
              <w:rPr>
                <w:sz w:val="28"/>
                <w:szCs w:val="28"/>
              </w:rPr>
              <w:t xml:space="preserve"> як</w:t>
            </w:r>
            <w:r w:rsidR="00D6640C" w:rsidRPr="00B51DA9">
              <w:rPr>
                <w:sz w:val="28"/>
                <w:szCs w:val="28"/>
              </w:rPr>
              <w:t xml:space="preserve"> регулярн</w:t>
            </w:r>
            <w:r w:rsidR="00BB560F" w:rsidRPr="00B51DA9">
              <w:rPr>
                <w:sz w:val="28"/>
                <w:szCs w:val="28"/>
              </w:rPr>
              <w:t>их</w:t>
            </w:r>
            <w:r w:rsidR="00D6640C" w:rsidRPr="00B51DA9">
              <w:rPr>
                <w:sz w:val="28"/>
                <w:szCs w:val="28"/>
              </w:rPr>
              <w:t xml:space="preserve"> платежі</w:t>
            </w:r>
            <w:r w:rsidR="00BB560F" w:rsidRPr="00B51DA9">
              <w:rPr>
                <w:sz w:val="28"/>
                <w:szCs w:val="28"/>
              </w:rPr>
              <w:t>в</w:t>
            </w:r>
            <w:r w:rsidR="00D6640C" w:rsidRPr="00B51DA9">
              <w:rPr>
                <w:sz w:val="28"/>
                <w:szCs w:val="28"/>
              </w:rPr>
              <w:t>, визначен</w:t>
            </w:r>
            <w:r w:rsidR="00BB560F" w:rsidRPr="00B51DA9">
              <w:rPr>
                <w:sz w:val="28"/>
                <w:szCs w:val="28"/>
              </w:rPr>
              <w:t>их</w:t>
            </w:r>
            <w:r w:rsidR="00D6640C" w:rsidRPr="00B51DA9">
              <w:rPr>
                <w:sz w:val="28"/>
                <w:szCs w:val="28"/>
              </w:rPr>
              <w:t xml:space="preserve"> окремо для кожної будівлі, що враховують витрати на обслуговування вузлів комерційного обліку за кожною комунальною послугою, та витрати операторів зовнішніх інженерних мереж, пов’язані із встановленням, обслуговуванням або заміною вузлів ком</w:t>
            </w:r>
            <w:r w:rsidR="00BB560F" w:rsidRPr="00B51DA9">
              <w:rPr>
                <w:sz w:val="28"/>
                <w:szCs w:val="28"/>
              </w:rPr>
              <w:t xml:space="preserve">ерційного обліку (за наявності). </w:t>
            </w:r>
          </w:p>
        </w:tc>
      </w:tr>
    </w:tbl>
    <w:p w:rsidR="00A1081E" w:rsidRPr="00B51DA9" w:rsidRDefault="00A1081E" w:rsidP="002B2FF7">
      <w:pPr>
        <w:pStyle w:val="StyleZakonu"/>
        <w:tabs>
          <w:tab w:val="left" w:pos="993"/>
        </w:tabs>
        <w:spacing w:after="100" w:line="240" w:lineRule="auto"/>
        <w:ind w:firstLine="709"/>
        <w:rPr>
          <w:rStyle w:val="st42"/>
          <w:color w:val="auto"/>
          <w:sz w:val="28"/>
          <w:szCs w:val="28"/>
        </w:rPr>
      </w:pPr>
      <w:r w:rsidRPr="00B51DA9">
        <w:rPr>
          <w:rStyle w:val="st42"/>
          <w:sz w:val="28"/>
          <w:szCs w:val="28"/>
        </w:rPr>
        <w:lastRenderedPageBreak/>
        <w:t xml:space="preserve">Натепер частиною четвертою статті 17 Закону </w:t>
      </w:r>
      <w:r w:rsidR="003153F3" w:rsidRPr="00B51DA9">
        <w:rPr>
          <w:sz w:val="28"/>
          <w:szCs w:val="28"/>
        </w:rPr>
        <w:t>України “</w:t>
      </w:r>
      <w:r w:rsidRPr="00B51DA9">
        <w:rPr>
          <w:sz w:val="28"/>
          <w:szCs w:val="28"/>
        </w:rPr>
        <w:t>Про метрологію та метрологічну діяльність</w:t>
      </w:r>
      <w:r w:rsidR="003153F3" w:rsidRPr="00B51DA9">
        <w:rPr>
          <w:sz w:val="28"/>
          <w:szCs w:val="28"/>
        </w:rPr>
        <w:t>”</w:t>
      </w:r>
      <w:r w:rsidR="00B51DA9" w:rsidRPr="00B51DA9">
        <w:rPr>
          <w:sz w:val="28"/>
          <w:szCs w:val="28"/>
        </w:rPr>
        <w:t xml:space="preserve"> </w:t>
      </w:r>
      <w:r w:rsidRPr="00B51DA9">
        <w:rPr>
          <w:sz w:val="28"/>
          <w:szCs w:val="28"/>
        </w:rPr>
        <w:t xml:space="preserve">передбачається, що </w:t>
      </w:r>
      <w:r w:rsidR="003153F3" w:rsidRPr="00B51DA9">
        <w:rPr>
          <w:sz w:val="28"/>
          <w:szCs w:val="28"/>
        </w:rPr>
        <w:t>“</w:t>
      </w:r>
      <w:r w:rsidRPr="00B51DA9">
        <w:rPr>
          <w:sz w:val="28"/>
          <w:szCs w:val="28"/>
        </w:rPr>
        <w:t>п</w:t>
      </w:r>
      <w:r w:rsidRPr="00B51DA9">
        <w:rPr>
          <w:rStyle w:val="st42"/>
          <w:sz w:val="28"/>
          <w:szCs w:val="28"/>
        </w:rPr>
        <w:t>еріодична повірка, обслуговування та ремонт (у тому числі демонтаж, транспортування та монтаж) засобів вимірювальної техніки (результати вимірювань яких використовуються для здійснення розрахунків за спожиті для побутових потреб електричну і теплову енергію, газ і воду), що є власністю фізичних осіб, здійснюються за рахунок суб’єктів господарювання, що надають послуги з електро-, тепло-, газо- і водопостачання.</w:t>
      </w:r>
      <w:r w:rsidRPr="00B51DA9">
        <w:rPr>
          <w:sz w:val="28"/>
          <w:szCs w:val="28"/>
        </w:rPr>
        <w:t xml:space="preserve"> </w:t>
      </w:r>
      <w:r w:rsidRPr="00B51DA9">
        <w:rPr>
          <w:rStyle w:val="st42"/>
          <w:sz w:val="28"/>
          <w:szCs w:val="28"/>
        </w:rPr>
        <w:t>Періодична повірка проводиться за рахунок тарифів на електро-, тепло-, газо- і водопостачання</w:t>
      </w:r>
      <w:r w:rsidRPr="00B51DA9">
        <w:rPr>
          <w:sz w:val="28"/>
          <w:szCs w:val="28"/>
        </w:rPr>
        <w:t>. Порядок</w:t>
      </w:r>
      <w:r w:rsidRPr="00B51DA9">
        <w:rPr>
          <w:rStyle w:val="st42"/>
          <w:sz w:val="28"/>
          <w:szCs w:val="28"/>
        </w:rPr>
        <w:t xml:space="preserve"> подання таких засобів на періодичну повірку, обслуговування та ремонт, а також порядок оплати за періодичну повірку, обслуговування та ремонт (у тому числі демонтаж, транспортування та монтаж) встановлюються Кабінетом Міністрів України</w:t>
      </w:r>
      <w:r w:rsidR="003153F3" w:rsidRPr="00B51DA9">
        <w:rPr>
          <w:sz w:val="28"/>
          <w:szCs w:val="28"/>
        </w:rPr>
        <w:t>”</w:t>
      </w:r>
      <w:r w:rsidRPr="00B51DA9">
        <w:rPr>
          <w:rStyle w:val="st42"/>
          <w:sz w:val="28"/>
          <w:szCs w:val="28"/>
        </w:rPr>
        <w:t xml:space="preserve">. </w:t>
      </w:r>
    </w:p>
    <w:p w:rsidR="00A1081E" w:rsidRPr="00B51DA9" w:rsidRDefault="00A1081E" w:rsidP="002B2FF7">
      <w:pPr>
        <w:pStyle w:val="StyleZakonu"/>
        <w:tabs>
          <w:tab w:val="left" w:pos="993"/>
        </w:tabs>
        <w:spacing w:after="100" w:line="240" w:lineRule="auto"/>
        <w:ind w:firstLine="709"/>
        <w:rPr>
          <w:sz w:val="28"/>
          <w:szCs w:val="28"/>
        </w:rPr>
      </w:pPr>
      <w:r w:rsidRPr="00B51DA9">
        <w:rPr>
          <w:rStyle w:val="st42"/>
          <w:sz w:val="28"/>
          <w:szCs w:val="28"/>
        </w:rPr>
        <w:t xml:space="preserve">Законопроектом (пункт 7 розділу </w:t>
      </w:r>
      <w:r w:rsidRPr="00B51DA9">
        <w:rPr>
          <w:rStyle w:val="st42"/>
          <w:sz w:val="28"/>
          <w:szCs w:val="28"/>
          <w:lang w:val="en-US"/>
        </w:rPr>
        <w:t>IV</w:t>
      </w:r>
      <w:r w:rsidRPr="00B51DA9">
        <w:rPr>
          <w:rStyle w:val="st42"/>
          <w:sz w:val="28"/>
          <w:szCs w:val="28"/>
        </w:rPr>
        <w:t xml:space="preserve"> </w:t>
      </w:r>
      <w:r w:rsidR="003153F3" w:rsidRPr="00B51DA9">
        <w:rPr>
          <w:sz w:val="28"/>
          <w:szCs w:val="28"/>
        </w:rPr>
        <w:t>“</w:t>
      </w:r>
      <w:r w:rsidRPr="00B51DA9">
        <w:rPr>
          <w:rStyle w:val="st42"/>
          <w:sz w:val="28"/>
          <w:szCs w:val="28"/>
        </w:rPr>
        <w:t>Прикінцеві та перехідні положення</w:t>
      </w:r>
      <w:r w:rsidR="003153F3" w:rsidRPr="00B51DA9">
        <w:rPr>
          <w:sz w:val="28"/>
          <w:szCs w:val="28"/>
        </w:rPr>
        <w:t>”</w:t>
      </w:r>
      <w:r w:rsidRPr="00B51DA9">
        <w:rPr>
          <w:rStyle w:val="st42"/>
          <w:sz w:val="28"/>
          <w:szCs w:val="28"/>
        </w:rPr>
        <w:t>) передбачається покласти витрати за періодичну повірку засобів вимірювальної техніки</w:t>
      </w:r>
      <w:r w:rsidR="00F83A13" w:rsidRPr="00B51DA9">
        <w:rPr>
          <w:rStyle w:val="st42"/>
          <w:sz w:val="28"/>
          <w:szCs w:val="28"/>
        </w:rPr>
        <w:t xml:space="preserve"> </w:t>
      </w:r>
      <w:r w:rsidR="002C3135" w:rsidRPr="00B51DA9">
        <w:rPr>
          <w:rStyle w:val="st42"/>
          <w:sz w:val="28"/>
          <w:szCs w:val="28"/>
        </w:rPr>
        <w:t xml:space="preserve">(результати </w:t>
      </w:r>
      <w:r w:rsidR="00EE04CA" w:rsidRPr="00B51DA9">
        <w:rPr>
          <w:rStyle w:val="st42"/>
          <w:sz w:val="28"/>
          <w:szCs w:val="28"/>
        </w:rPr>
        <w:t>вимірювань яких використовуються для здійснення комерційних розрахунків за спожиті теплову енергію і воду)</w:t>
      </w:r>
      <w:r w:rsidRPr="00B51DA9">
        <w:rPr>
          <w:rStyle w:val="st42"/>
          <w:sz w:val="28"/>
          <w:szCs w:val="28"/>
        </w:rPr>
        <w:t xml:space="preserve"> на споживачів послуг </w:t>
      </w:r>
      <w:r w:rsidRPr="00B51DA9">
        <w:rPr>
          <w:sz w:val="28"/>
          <w:szCs w:val="28"/>
        </w:rPr>
        <w:t>з постачання теплової енергії, постачання гарячої води, централізованого водопостачання, що планується здійснювати за рахунок внесків за обслуговування вузлів комерційного</w:t>
      </w:r>
      <w:r w:rsidRPr="00B51DA9">
        <w:rPr>
          <w:b/>
          <w:sz w:val="28"/>
          <w:szCs w:val="28"/>
        </w:rPr>
        <w:t xml:space="preserve"> </w:t>
      </w:r>
      <w:r w:rsidRPr="00B51DA9">
        <w:rPr>
          <w:sz w:val="28"/>
          <w:szCs w:val="28"/>
        </w:rPr>
        <w:t xml:space="preserve">обліку, встановлених відповідно до Закону України </w:t>
      </w:r>
      <w:r w:rsidR="003153F3" w:rsidRPr="00B51DA9">
        <w:rPr>
          <w:sz w:val="28"/>
          <w:szCs w:val="28"/>
        </w:rPr>
        <w:t>“</w:t>
      </w:r>
      <w:r w:rsidRPr="00B51DA9">
        <w:rPr>
          <w:sz w:val="28"/>
          <w:szCs w:val="28"/>
        </w:rPr>
        <w:t>Про комерційний облік комунальних послуг</w:t>
      </w:r>
      <w:r w:rsidR="003153F3" w:rsidRPr="00B51DA9">
        <w:rPr>
          <w:sz w:val="28"/>
          <w:szCs w:val="28"/>
        </w:rPr>
        <w:t>”</w:t>
      </w:r>
      <w:r w:rsidRPr="00B51DA9">
        <w:rPr>
          <w:sz w:val="28"/>
          <w:szCs w:val="28"/>
        </w:rPr>
        <w:t>.</w:t>
      </w:r>
    </w:p>
    <w:p w:rsidR="00414E2F" w:rsidRPr="00B51DA9" w:rsidRDefault="00414E2F" w:rsidP="002B2FF7">
      <w:pPr>
        <w:pStyle w:val="StyleZakonu"/>
        <w:tabs>
          <w:tab w:val="left" w:pos="993"/>
        </w:tabs>
        <w:spacing w:after="100" w:line="240" w:lineRule="auto"/>
        <w:ind w:firstLine="709"/>
        <w:rPr>
          <w:rStyle w:val="st42"/>
          <w:color w:val="auto"/>
          <w:sz w:val="28"/>
          <w:szCs w:val="28"/>
        </w:rPr>
      </w:pPr>
      <w:r w:rsidRPr="00B51DA9">
        <w:rPr>
          <w:sz w:val="28"/>
          <w:szCs w:val="28"/>
        </w:rPr>
        <w:t xml:space="preserve">Тому вважаємо, що </w:t>
      </w:r>
      <w:r w:rsidR="00EE04CA" w:rsidRPr="00B51DA9">
        <w:rPr>
          <w:sz w:val="28"/>
          <w:szCs w:val="28"/>
        </w:rPr>
        <w:t xml:space="preserve">такий законодавчий підхід </w:t>
      </w:r>
      <w:r w:rsidR="00F83A13" w:rsidRPr="00B51DA9">
        <w:rPr>
          <w:sz w:val="28"/>
          <w:szCs w:val="28"/>
        </w:rPr>
        <w:t xml:space="preserve">на практиці в процесі реалізації законодавчих засад, передбачених </w:t>
      </w:r>
      <w:r w:rsidRPr="00B51DA9">
        <w:rPr>
          <w:sz w:val="28"/>
          <w:szCs w:val="28"/>
        </w:rPr>
        <w:t>поданим законопроектом</w:t>
      </w:r>
      <w:r w:rsidR="00F83A13" w:rsidRPr="00B51DA9">
        <w:rPr>
          <w:sz w:val="28"/>
          <w:szCs w:val="28"/>
        </w:rPr>
        <w:t>,</w:t>
      </w:r>
      <w:r w:rsidRPr="00B51DA9">
        <w:rPr>
          <w:sz w:val="28"/>
          <w:szCs w:val="28"/>
        </w:rPr>
        <w:t xml:space="preserve"> мож</w:t>
      </w:r>
      <w:r w:rsidR="00EE04CA" w:rsidRPr="00B51DA9">
        <w:rPr>
          <w:sz w:val="28"/>
          <w:szCs w:val="28"/>
        </w:rPr>
        <w:t>е вплинути</w:t>
      </w:r>
      <w:r w:rsidRPr="00B51DA9">
        <w:rPr>
          <w:sz w:val="28"/>
          <w:szCs w:val="28"/>
        </w:rPr>
        <w:t xml:space="preserve"> </w:t>
      </w:r>
      <w:r w:rsidR="00EE04CA" w:rsidRPr="00B51DA9">
        <w:rPr>
          <w:sz w:val="28"/>
          <w:szCs w:val="28"/>
        </w:rPr>
        <w:t>на</w:t>
      </w:r>
      <w:r w:rsidRPr="00B51DA9">
        <w:rPr>
          <w:sz w:val="28"/>
          <w:szCs w:val="28"/>
        </w:rPr>
        <w:t xml:space="preserve"> права споживачів з користування </w:t>
      </w:r>
      <w:r w:rsidRPr="00B51DA9">
        <w:rPr>
          <w:rStyle w:val="st42"/>
          <w:sz w:val="28"/>
          <w:szCs w:val="28"/>
        </w:rPr>
        <w:t xml:space="preserve">послугами </w:t>
      </w:r>
      <w:r w:rsidRPr="00B51DA9">
        <w:rPr>
          <w:sz w:val="28"/>
          <w:szCs w:val="28"/>
        </w:rPr>
        <w:t>з постачання теплової енергії, постачання гарячої води, централізованого водопостачання, що не допускається частиною третьою статті 22 Конституції України</w:t>
      </w:r>
      <w:r w:rsidR="00EE04CA" w:rsidRPr="00B51DA9">
        <w:rPr>
          <w:sz w:val="28"/>
          <w:szCs w:val="28"/>
        </w:rPr>
        <w:t>.</w:t>
      </w:r>
    </w:p>
    <w:p w:rsidR="005C6D38" w:rsidRPr="00B51DA9" w:rsidRDefault="005C6D38" w:rsidP="002B2FF7">
      <w:pPr>
        <w:pStyle w:val="a8"/>
        <w:numPr>
          <w:ilvl w:val="0"/>
          <w:numId w:val="5"/>
        </w:numPr>
        <w:tabs>
          <w:tab w:val="left" w:pos="709"/>
          <w:tab w:val="left" w:pos="993"/>
        </w:tabs>
        <w:spacing w:after="100"/>
        <w:ind w:left="0" w:firstLine="709"/>
        <w:jc w:val="both"/>
        <w:rPr>
          <w:sz w:val="28"/>
          <w:szCs w:val="28"/>
        </w:rPr>
      </w:pPr>
      <w:r w:rsidRPr="00B51DA9">
        <w:rPr>
          <w:sz w:val="28"/>
          <w:szCs w:val="28"/>
        </w:rPr>
        <w:lastRenderedPageBreak/>
        <w:t>Частиною першою статті 12 законопроекту</w:t>
      </w:r>
      <w:r w:rsidR="00B51DA9" w:rsidRPr="00B51DA9">
        <w:rPr>
          <w:sz w:val="28"/>
          <w:szCs w:val="28"/>
        </w:rPr>
        <w:t xml:space="preserve"> </w:t>
      </w:r>
      <w:r w:rsidRPr="00B51DA9">
        <w:rPr>
          <w:sz w:val="28"/>
          <w:szCs w:val="28"/>
        </w:rPr>
        <w:t xml:space="preserve">передбачається, що моніторинг стану оснащеності вузлами комерційного обліку здійснюється центральним органом виконавчої влади, що забезпечує </w:t>
      </w:r>
      <w:r w:rsidRPr="00B51DA9">
        <w:rPr>
          <w:color w:val="000000"/>
          <w:sz w:val="28"/>
          <w:szCs w:val="28"/>
        </w:rPr>
        <w:t>реалізацію державної політику у сфері ефективного використання паливно-енергетичних ресурсів та енергозбереження,</w:t>
      </w:r>
      <w:r w:rsidRPr="00B51DA9">
        <w:rPr>
          <w:sz w:val="28"/>
          <w:szCs w:val="28"/>
        </w:rPr>
        <w:t xml:space="preserve"> на підставі інформації обласних, Київської та Севастопольської міських державних адміністрацій у порядку, встановленому Кабінетом Міністрів України. </w:t>
      </w:r>
      <w:r w:rsidR="00FE1C01" w:rsidRPr="00B51DA9">
        <w:rPr>
          <w:sz w:val="28"/>
          <w:szCs w:val="28"/>
        </w:rPr>
        <w:t xml:space="preserve">Такий законодавчий підхід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w:t>
      </w:r>
      <w:r w:rsidRPr="00B51DA9">
        <w:rPr>
          <w:sz w:val="28"/>
          <w:szCs w:val="28"/>
        </w:rPr>
        <w:t>Те саме стосується частини третьої статті 12</w:t>
      </w:r>
      <w:r w:rsidR="00FE1C01" w:rsidRPr="00B51DA9">
        <w:rPr>
          <w:sz w:val="28"/>
          <w:szCs w:val="28"/>
        </w:rPr>
        <w:t xml:space="preserve"> законопроекту</w:t>
      </w:r>
      <w:r w:rsidRPr="00B51DA9">
        <w:rPr>
          <w:sz w:val="28"/>
          <w:szCs w:val="28"/>
        </w:rPr>
        <w:t xml:space="preserve"> щодо </w:t>
      </w:r>
      <w:r w:rsidR="00FE1C01" w:rsidRPr="00B51DA9">
        <w:rPr>
          <w:sz w:val="28"/>
          <w:szCs w:val="28"/>
        </w:rPr>
        <w:t>п</w:t>
      </w:r>
      <w:r w:rsidRPr="00B51DA9">
        <w:rPr>
          <w:sz w:val="28"/>
          <w:szCs w:val="28"/>
        </w:rPr>
        <w:t>орядк</w:t>
      </w:r>
      <w:r w:rsidR="00FE1C01" w:rsidRPr="00B51DA9">
        <w:rPr>
          <w:sz w:val="28"/>
          <w:szCs w:val="28"/>
        </w:rPr>
        <w:t>у</w:t>
      </w:r>
      <w:r w:rsidRPr="00B51DA9">
        <w:rPr>
          <w:sz w:val="28"/>
          <w:szCs w:val="28"/>
        </w:rPr>
        <w:t xml:space="preserve"> обміну інформацією між органом, що здійснює моніторинг стану оснащення вузлами комерційного обліку комунальних послуг, та органом, уповноваженим на прийняття рішень про притягнення до відповідальності за порушення цього Закону, </w:t>
      </w:r>
      <w:r w:rsidR="00FE1C01" w:rsidRPr="00B51DA9">
        <w:rPr>
          <w:sz w:val="28"/>
          <w:szCs w:val="28"/>
        </w:rPr>
        <w:t xml:space="preserve">що </w:t>
      </w:r>
      <w:r w:rsidRPr="00B51DA9">
        <w:rPr>
          <w:sz w:val="28"/>
          <w:szCs w:val="28"/>
        </w:rPr>
        <w:t>встановлюється Кабінетом Міністрів України.</w:t>
      </w:r>
    </w:p>
    <w:p w:rsidR="00924DE7" w:rsidRPr="00C23A61" w:rsidRDefault="00924DE7" w:rsidP="002B2FF7">
      <w:pPr>
        <w:pStyle w:val="a8"/>
        <w:numPr>
          <w:ilvl w:val="0"/>
          <w:numId w:val="5"/>
        </w:numPr>
        <w:tabs>
          <w:tab w:val="left" w:pos="709"/>
        </w:tabs>
        <w:spacing w:after="100"/>
        <w:ind w:left="0" w:firstLine="709"/>
        <w:jc w:val="both"/>
        <w:rPr>
          <w:rStyle w:val="st42"/>
          <w:color w:val="auto"/>
          <w:sz w:val="28"/>
          <w:szCs w:val="28"/>
        </w:rPr>
      </w:pPr>
      <w:r w:rsidRPr="00C23A61">
        <w:rPr>
          <w:sz w:val="28"/>
          <w:szCs w:val="28"/>
        </w:rPr>
        <w:t xml:space="preserve">Частиною дев’ятою статті 16 законопроекту передбачається, що </w:t>
      </w:r>
      <w:r w:rsidR="00D27B7E" w:rsidRPr="00C23A61">
        <w:rPr>
          <w:sz w:val="28"/>
          <w:szCs w:val="28"/>
        </w:rPr>
        <w:t>с</w:t>
      </w:r>
      <w:r w:rsidRPr="00C23A61">
        <w:rPr>
          <w:sz w:val="28"/>
          <w:szCs w:val="28"/>
        </w:rPr>
        <w:t xml:space="preserve">уми стягнених штрафів за правопорушення у сфері комерційного обліку комунальних послуг зараховуються до відповідних місцевих бюджетів та спрямовуються на реалізацію місцевих програм у сфері енергоефективності та/або енергозбереження, що, як вбачається, не враховує вимог </w:t>
      </w:r>
      <w:r w:rsidR="004B42F1" w:rsidRPr="00C23A61">
        <w:rPr>
          <w:sz w:val="28"/>
          <w:szCs w:val="28"/>
        </w:rPr>
        <w:t xml:space="preserve">пункту 3 статті 7 Бюджетного кодексу України, за якою </w:t>
      </w:r>
      <w:r w:rsidR="003153F3" w:rsidRPr="00C23A61">
        <w:rPr>
          <w:sz w:val="28"/>
          <w:szCs w:val="28"/>
        </w:rPr>
        <w:t>“Д</w:t>
      </w:r>
      <w:r w:rsidR="004B42F1" w:rsidRPr="00C23A61">
        <w:rPr>
          <w:rStyle w:val="st42"/>
          <w:sz w:val="28"/>
          <w:szCs w:val="28"/>
        </w:rPr>
        <w:t>ержавний бюджет України та місцеві бюджети є самостійними</w:t>
      </w:r>
      <w:r w:rsidR="003153F3" w:rsidRPr="00C23A61">
        <w:rPr>
          <w:sz w:val="28"/>
          <w:szCs w:val="28"/>
        </w:rPr>
        <w:t>”</w:t>
      </w:r>
      <w:r w:rsidR="004B42F1" w:rsidRPr="00C23A61">
        <w:rPr>
          <w:rStyle w:val="st42"/>
          <w:sz w:val="28"/>
          <w:szCs w:val="28"/>
        </w:rPr>
        <w:t xml:space="preserve">, а також </w:t>
      </w:r>
      <w:r w:rsidRPr="00C23A61">
        <w:rPr>
          <w:sz w:val="28"/>
          <w:szCs w:val="28"/>
        </w:rPr>
        <w:t>частини другої статті 70 Бюджетного кодексу України, за якою к</w:t>
      </w:r>
      <w:r w:rsidRPr="00C23A61">
        <w:rPr>
          <w:rStyle w:val="st42"/>
          <w:sz w:val="28"/>
          <w:szCs w:val="28"/>
        </w:rPr>
        <w:t>ошти спеціального фонду місцевих бюджетів витрачаються на заходи, передбачені рішенням про місцевий бюджет відповідно до законодавства.</w:t>
      </w:r>
    </w:p>
    <w:p w:rsidR="00D27B7E" w:rsidRPr="00B51DA9" w:rsidRDefault="00D27B7E" w:rsidP="002B2FF7">
      <w:pPr>
        <w:pStyle w:val="a8"/>
        <w:numPr>
          <w:ilvl w:val="0"/>
          <w:numId w:val="5"/>
        </w:numPr>
        <w:tabs>
          <w:tab w:val="left" w:pos="993"/>
        </w:tabs>
        <w:spacing w:after="100"/>
        <w:ind w:left="0" w:firstLine="709"/>
        <w:jc w:val="both"/>
        <w:rPr>
          <w:bCs/>
          <w:sz w:val="28"/>
          <w:szCs w:val="28"/>
        </w:rPr>
      </w:pPr>
      <w:r w:rsidRPr="00B51DA9">
        <w:rPr>
          <w:sz w:val="28"/>
          <w:szCs w:val="28"/>
        </w:rPr>
        <w:t xml:space="preserve">Пунктом 2 розділу IV </w:t>
      </w:r>
      <w:r w:rsidR="003153F3" w:rsidRPr="00B51DA9">
        <w:rPr>
          <w:sz w:val="28"/>
          <w:szCs w:val="28"/>
        </w:rPr>
        <w:t>“</w:t>
      </w:r>
      <w:r w:rsidRPr="00B51DA9">
        <w:rPr>
          <w:sz w:val="28"/>
          <w:szCs w:val="28"/>
        </w:rPr>
        <w:t>Прикінцеві та перехідні положення</w:t>
      </w:r>
      <w:r w:rsidR="003153F3" w:rsidRPr="00B51DA9">
        <w:rPr>
          <w:sz w:val="28"/>
          <w:szCs w:val="28"/>
        </w:rPr>
        <w:t>”</w:t>
      </w:r>
      <w:r w:rsidRPr="00B51DA9">
        <w:rPr>
          <w:sz w:val="28"/>
          <w:szCs w:val="28"/>
        </w:rPr>
        <w:t xml:space="preserve"> передбачається, що </w:t>
      </w:r>
      <w:r w:rsidRPr="00B51DA9">
        <w:rPr>
          <w:bCs/>
          <w:sz w:val="28"/>
          <w:szCs w:val="28"/>
        </w:rPr>
        <w:t>до затвердження центральним органом виконавчої влади, що забезпечує формування державної політики у сфері житлово-комунального господарства, методики розподілу між споживачами обсягів спожитих у будівлі комунальних послуг співвласники багатоквартирного будинку або іншої будівлі, де налічуються два або більше споживачів, можуть визначити свій порядок розподілу між споживачами обсягів спожитих у будівлі комунальних послуг відповідно до положень статті 10 цього Закону, а</w:t>
      </w:r>
      <w:r w:rsidR="00B51DA9" w:rsidRPr="00B51DA9">
        <w:rPr>
          <w:bCs/>
          <w:sz w:val="28"/>
          <w:szCs w:val="28"/>
        </w:rPr>
        <w:t xml:space="preserve"> </w:t>
      </w:r>
      <w:r w:rsidRPr="00B51DA9">
        <w:rPr>
          <w:bCs/>
          <w:sz w:val="28"/>
          <w:szCs w:val="28"/>
        </w:rPr>
        <w:t xml:space="preserve">також прийняти рішення про незастосування положень частини п’ятої статті 10 цього Закону при розрахунках за житлово-комунальні послуги у відповідному будинку, будівлі. Вважаємо, що зазначений підхід не враховує вимог частини першої статті 68 Конституції України, за якою </w:t>
      </w:r>
      <w:r w:rsidR="003153F3" w:rsidRPr="00B51DA9">
        <w:rPr>
          <w:sz w:val="28"/>
          <w:szCs w:val="28"/>
        </w:rPr>
        <w:t>“</w:t>
      </w:r>
      <w:r w:rsidRPr="00B51DA9">
        <w:rPr>
          <w:bCs/>
          <w:sz w:val="28"/>
          <w:szCs w:val="28"/>
        </w:rPr>
        <w:t>к</w:t>
      </w:r>
      <w:r w:rsidRPr="00B51DA9">
        <w:rPr>
          <w:rStyle w:val="st42"/>
          <w:rFonts w:eastAsiaTheme="minorHAnsi"/>
          <w:sz w:val="28"/>
          <w:szCs w:val="28"/>
          <w:lang w:eastAsia="en-US"/>
        </w:rPr>
        <w:t>ожен зобов’язаний неухильно додержуватися Конституції України та законів України, не посягати на права і свободи, честь і гідність інших людей</w:t>
      </w:r>
      <w:r w:rsidR="003153F3" w:rsidRPr="00B51DA9">
        <w:rPr>
          <w:sz w:val="28"/>
          <w:szCs w:val="28"/>
        </w:rPr>
        <w:t>”</w:t>
      </w:r>
      <w:r w:rsidRPr="00B51DA9">
        <w:rPr>
          <w:rStyle w:val="st42"/>
          <w:rFonts w:eastAsiaTheme="minorHAnsi"/>
          <w:sz w:val="28"/>
          <w:szCs w:val="28"/>
          <w:lang w:eastAsia="en-US"/>
        </w:rPr>
        <w:t>.</w:t>
      </w:r>
    </w:p>
    <w:p w:rsidR="00D27B7E" w:rsidRPr="00B51DA9" w:rsidRDefault="00D27B7E" w:rsidP="002B2FF7">
      <w:pPr>
        <w:pStyle w:val="a8"/>
        <w:numPr>
          <w:ilvl w:val="0"/>
          <w:numId w:val="5"/>
        </w:numPr>
        <w:tabs>
          <w:tab w:val="left" w:pos="993"/>
        </w:tabs>
        <w:spacing w:after="100"/>
        <w:ind w:left="0" w:firstLine="709"/>
        <w:jc w:val="both"/>
        <w:rPr>
          <w:rStyle w:val="a9"/>
          <w:bCs w:val="0"/>
          <w:sz w:val="28"/>
          <w:szCs w:val="28"/>
        </w:rPr>
      </w:pPr>
      <w:r w:rsidRPr="00B51DA9">
        <w:rPr>
          <w:sz w:val="28"/>
          <w:szCs w:val="28"/>
        </w:rPr>
        <w:t xml:space="preserve">Пунктом </w:t>
      </w:r>
      <w:r w:rsidR="003B6325">
        <w:rPr>
          <w:sz w:val="28"/>
          <w:szCs w:val="28"/>
        </w:rPr>
        <w:t>3</w:t>
      </w:r>
      <w:r w:rsidRPr="00B51DA9">
        <w:rPr>
          <w:sz w:val="28"/>
          <w:szCs w:val="28"/>
        </w:rPr>
        <w:t xml:space="preserve"> розділу IV </w:t>
      </w:r>
      <w:r w:rsidR="003153F3" w:rsidRPr="00B51DA9">
        <w:rPr>
          <w:sz w:val="28"/>
          <w:szCs w:val="28"/>
        </w:rPr>
        <w:t>“</w:t>
      </w:r>
      <w:r w:rsidRPr="00B51DA9">
        <w:rPr>
          <w:sz w:val="28"/>
          <w:szCs w:val="28"/>
        </w:rPr>
        <w:t>Прикінцеві та перехідні положення</w:t>
      </w:r>
      <w:r w:rsidR="003153F3" w:rsidRPr="00B51DA9">
        <w:rPr>
          <w:sz w:val="28"/>
          <w:szCs w:val="28"/>
        </w:rPr>
        <w:t>”</w:t>
      </w:r>
      <w:r w:rsidR="00B51DA9" w:rsidRPr="00B51DA9">
        <w:rPr>
          <w:sz w:val="28"/>
          <w:szCs w:val="28"/>
        </w:rPr>
        <w:t xml:space="preserve"> </w:t>
      </w:r>
      <w:r w:rsidRPr="00B51DA9">
        <w:rPr>
          <w:sz w:val="28"/>
          <w:szCs w:val="28"/>
        </w:rPr>
        <w:t xml:space="preserve">передбачається, що </w:t>
      </w:r>
      <w:r w:rsidRPr="00B51DA9">
        <w:rPr>
          <w:rStyle w:val="a9"/>
          <w:b w:val="0"/>
          <w:sz w:val="28"/>
          <w:szCs w:val="28"/>
        </w:rPr>
        <w:t>вузли обліку та їх складові частини, включаючи засоби вимірювальної техніки, що використовуються для цілей комерційного, у тому числі розподільного обліку комунальних послуг, а також прилади - розподілювачі теплової енергії, сертифіковані компетентним органом держави - члена Європейського Союзу, Сполучених Штатів Америки, Швейцар</w:t>
      </w:r>
      <w:r w:rsidR="00D52099">
        <w:rPr>
          <w:rStyle w:val="a9"/>
          <w:b w:val="0"/>
          <w:sz w:val="28"/>
          <w:szCs w:val="28"/>
        </w:rPr>
        <w:t>ської Конфедерації</w:t>
      </w:r>
      <w:r w:rsidRPr="00B51DA9">
        <w:rPr>
          <w:rStyle w:val="a9"/>
          <w:b w:val="0"/>
          <w:sz w:val="28"/>
          <w:szCs w:val="28"/>
        </w:rPr>
        <w:t>, Японії, Австралії, Канади, для застосування на території такої держави не потребують обов’язкової сертифікації та оцінки відповідності в Україні.</w:t>
      </w:r>
    </w:p>
    <w:p w:rsidR="00A171BF" w:rsidRPr="00B51DA9" w:rsidRDefault="00A171BF" w:rsidP="002B2FF7">
      <w:pPr>
        <w:pStyle w:val="ParagraphStyle"/>
        <w:tabs>
          <w:tab w:val="left" w:pos="993"/>
        </w:tabs>
        <w:spacing w:after="100"/>
        <w:ind w:firstLine="709"/>
        <w:jc w:val="both"/>
        <w:rPr>
          <w:rFonts w:ascii="Times New Roman" w:hAnsi="Times New Roman" w:cs="Times New Roman"/>
          <w:sz w:val="28"/>
          <w:szCs w:val="28"/>
          <w:lang w:val="uk-UA"/>
        </w:rPr>
      </w:pPr>
      <w:r w:rsidRPr="00B51DA9">
        <w:rPr>
          <w:rFonts w:ascii="Times New Roman" w:hAnsi="Times New Roman" w:cs="Times New Roman"/>
          <w:sz w:val="28"/>
          <w:szCs w:val="28"/>
          <w:lang w:val="uk-UA" w:eastAsia="uk-UA"/>
        </w:rPr>
        <w:t xml:space="preserve">Такий підхід, по суті, передбачає надання преференцій певним закордонним виробникам порівняно з іншими суб’єктами господарювання, що не враховує </w:t>
      </w:r>
      <w:r w:rsidRPr="00B51DA9">
        <w:rPr>
          <w:rFonts w:ascii="Times New Roman" w:hAnsi="Times New Roman" w:cs="Times New Roman"/>
          <w:sz w:val="28"/>
          <w:szCs w:val="28"/>
          <w:lang w:val="uk-UA"/>
        </w:rPr>
        <w:t>міжнародних зобов’язань України за договорами СОТ у частині національного режиму щодо внутрішнього регулювання. Так, відповідно до статті ІІІ Генеральної угоди з тарифів і торгівлі 1994 року товарам, що походять з території будь-якого члена СОТ, імпортованим на територію будь-якого іншого члена СОТ, повинен надаватися режим не менш сприятливий, ніж режим, що надається аналогічним товарам національного походження, щодо всіх законів, правил та вимог, що стосуються внутрішнього продажу, пропозиції до продажу, купівлі, транспортування, розподілу чи використання товарів.</w:t>
      </w:r>
      <w:r w:rsidR="00F06B04" w:rsidRPr="00B51DA9">
        <w:rPr>
          <w:rFonts w:ascii="Times New Roman" w:hAnsi="Times New Roman" w:cs="Times New Roman"/>
          <w:sz w:val="28"/>
          <w:szCs w:val="28"/>
          <w:lang w:val="uk-UA"/>
        </w:rPr>
        <w:t xml:space="preserve"> Крім того, відповідно до пункту 2.1 статті 2 Угоди </w:t>
      </w:r>
      <w:r w:rsidR="009C2EF7">
        <w:rPr>
          <w:rFonts w:ascii="Times New Roman" w:hAnsi="Times New Roman" w:cs="Times New Roman"/>
          <w:sz w:val="28"/>
          <w:szCs w:val="28"/>
          <w:lang w:val="uk-UA"/>
        </w:rPr>
        <w:t xml:space="preserve">СОТ </w:t>
      </w:r>
      <w:r w:rsidR="00F06B04" w:rsidRPr="00B51DA9">
        <w:rPr>
          <w:rFonts w:ascii="Times New Roman" w:hAnsi="Times New Roman" w:cs="Times New Roman"/>
          <w:sz w:val="28"/>
          <w:szCs w:val="28"/>
          <w:lang w:val="uk-UA"/>
        </w:rPr>
        <w:t xml:space="preserve">про технічні бар’єри у торгівлі </w:t>
      </w:r>
      <w:r w:rsidR="003153F3" w:rsidRPr="00B51DA9">
        <w:rPr>
          <w:rFonts w:ascii="Times New Roman" w:hAnsi="Times New Roman" w:cs="Times New Roman"/>
          <w:sz w:val="28"/>
          <w:szCs w:val="28"/>
          <w:lang w:val="uk-UA"/>
        </w:rPr>
        <w:t>“</w:t>
      </w:r>
      <w:r w:rsidR="00F06B04" w:rsidRPr="00B51DA9">
        <w:rPr>
          <w:rFonts w:ascii="Times New Roman" w:hAnsi="Times New Roman" w:cs="Times New Roman"/>
          <w:sz w:val="28"/>
          <w:szCs w:val="28"/>
          <w:lang w:val="uk-UA"/>
        </w:rPr>
        <w:t>члени</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СОТ</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повинні</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забезпечити,</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щоб стосовно технічних регламентів, товарам,</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що</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імпортуються</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з</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території</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будь-якого Члена СОТ,</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надавався</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режим</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не</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менш</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сприятливий,</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ніж той,</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що надається</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аналогічним</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товарам</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вітчизняного</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походження</w:t>
      </w:r>
      <w:r w:rsidR="00B51DA9" w:rsidRPr="00B51DA9">
        <w:rPr>
          <w:rStyle w:val="FontStyle"/>
          <w:rFonts w:ascii="Times New Roman" w:hAnsi="Times New Roman" w:cs="Times New Roman"/>
          <w:sz w:val="28"/>
          <w:szCs w:val="28"/>
          <w:lang w:val="uk-UA"/>
        </w:rPr>
        <w:t xml:space="preserve"> </w:t>
      </w:r>
      <w:r w:rsidR="00F06B04" w:rsidRPr="00B51DA9">
        <w:rPr>
          <w:rStyle w:val="FontStyle"/>
          <w:rFonts w:ascii="Times New Roman" w:hAnsi="Times New Roman" w:cs="Times New Roman"/>
          <w:sz w:val="28"/>
          <w:szCs w:val="28"/>
          <w:lang w:val="uk-UA"/>
        </w:rPr>
        <w:t>та аналогічним товарам, що походять з інших країн</w:t>
      </w:r>
      <w:r w:rsidR="003153F3" w:rsidRPr="00B51DA9">
        <w:rPr>
          <w:rFonts w:ascii="Times New Roman" w:hAnsi="Times New Roman" w:cs="Times New Roman"/>
          <w:sz w:val="28"/>
          <w:szCs w:val="28"/>
          <w:lang w:val="uk-UA"/>
        </w:rPr>
        <w:t>”</w:t>
      </w:r>
      <w:r w:rsidR="00F06B04" w:rsidRPr="00B51DA9">
        <w:rPr>
          <w:rStyle w:val="FontStyle"/>
          <w:rFonts w:ascii="Times New Roman" w:hAnsi="Times New Roman" w:cs="Times New Roman"/>
          <w:sz w:val="28"/>
          <w:szCs w:val="28"/>
          <w:lang w:val="uk-UA"/>
        </w:rPr>
        <w:t>.</w:t>
      </w:r>
    </w:p>
    <w:p w:rsidR="00F0641D" w:rsidRPr="00B51DA9" w:rsidRDefault="00D6640C" w:rsidP="00360CFF">
      <w:pPr>
        <w:pStyle w:val="StyleZakonu"/>
        <w:numPr>
          <w:ilvl w:val="0"/>
          <w:numId w:val="5"/>
        </w:numPr>
        <w:tabs>
          <w:tab w:val="left" w:pos="993"/>
        </w:tabs>
        <w:spacing w:after="240" w:line="240" w:lineRule="auto"/>
        <w:ind w:left="0" w:firstLine="709"/>
        <w:rPr>
          <w:sz w:val="28"/>
          <w:szCs w:val="28"/>
        </w:rPr>
      </w:pPr>
      <w:r w:rsidRPr="00B51DA9">
        <w:rPr>
          <w:sz w:val="28"/>
          <w:szCs w:val="28"/>
        </w:rPr>
        <w:t xml:space="preserve">Пунктом 6 розділу </w:t>
      </w:r>
      <w:r w:rsidRPr="00B51DA9">
        <w:rPr>
          <w:sz w:val="28"/>
          <w:szCs w:val="28"/>
          <w:lang w:val="en-US"/>
        </w:rPr>
        <w:t>IV</w:t>
      </w:r>
      <w:r w:rsidRPr="00B51DA9">
        <w:rPr>
          <w:sz w:val="28"/>
          <w:szCs w:val="28"/>
        </w:rPr>
        <w:t xml:space="preserve"> </w:t>
      </w:r>
      <w:r w:rsidR="003153F3" w:rsidRPr="00B51DA9">
        <w:rPr>
          <w:sz w:val="28"/>
          <w:szCs w:val="28"/>
        </w:rPr>
        <w:t>“</w:t>
      </w:r>
      <w:r w:rsidRPr="00B51DA9">
        <w:rPr>
          <w:sz w:val="28"/>
          <w:szCs w:val="28"/>
        </w:rPr>
        <w:t>Прикінцеві та перехідні положення</w:t>
      </w:r>
      <w:r w:rsidR="003153F3" w:rsidRPr="00B51DA9">
        <w:rPr>
          <w:sz w:val="28"/>
          <w:szCs w:val="28"/>
        </w:rPr>
        <w:t>”</w:t>
      </w:r>
      <w:r w:rsidRPr="00B51DA9">
        <w:rPr>
          <w:sz w:val="28"/>
          <w:szCs w:val="28"/>
        </w:rPr>
        <w:t xml:space="preserve"> передбачається</w:t>
      </w:r>
      <w:r w:rsidR="004C12CE" w:rsidRPr="00B51DA9">
        <w:rPr>
          <w:sz w:val="28"/>
          <w:szCs w:val="28"/>
        </w:rPr>
        <w:t xml:space="preserve"> надати доручення</w:t>
      </w:r>
      <w:r w:rsidRPr="00B51DA9">
        <w:rPr>
          <w:sz w:val="28"/>
          <w:szCs w:val="28"/>
        </w:rPr>
        <w:t xml:space="preserve"> Національній комісії, що здійснює державне регулювання у сферах енергетики та комунальних послуг</w:t>
      </w:r>
      <w:r w:rsidR="009C2EF7">
        <w:rPr>
          <w:sz w:val="28"/>
          <w:szCs w:val="28"/>
        </w:rPr>
        <w:t>,</w:t>
      </w:r>
      <w:r w:rsidR="004C12CE" w:rsidRPr="00B51DA9">
        <w:rPr>
          <w:sz w:val="28"/>
          <w:szCs w:val="28"/>
        </w:rPr>
        <w:t xml:space="preserve"> та </w:t>
      </w:r>
      <w:r w:rsidRPr="00B51DA9">
        <w:rPr>
          <w:sz w:val="28"/>
          <w:szCs w:val="28"/>
        </w:rPr>
        <w:t>органам місцевого самоврядування протягом трьох місяців з дня опублікування цього Закону</w:t>
      </w:r>
      <w:r w:rsidR="004C12CE" w:rsidRPr="00B51DA9">
        <w:rPr>
          <w:sz w:val="28"/>
          <w:szCs w:val="28"/>
        </w:rPr>
        <w:t xml:space="preserve"> вчинити певні дії у сфері регулювання тарифів на послуги з постачання теплової енергії, гарячої води, централізованого водопостачання для суб’єктів природних монополій та суб’єктів, що провадять діяльність на суміжних ринках.</w:t>
      </w:r>
      <w:r w:rsidR="00F0641D" w:rsidRPr="00B51DA9">
        <w:rPr>
          <w:sz w:val="28"/>
          <w:szCs w:val="28"/>
        </w:rPr>
        <w:t xml:space="preserve"> Такий законодавчий підхід не враховує положень частини першої статті 140 Конституції України, за якою м</w:t>
      </w:r>
      <w:r w:rsidR="00F0641D" w:rsidRPr="00B51DA9">
        <w:rPr>
          <w:rStyle w:val="st42"/>
          <w:rFonts w:eastAsiaTheme="minorHAnsi"/>
          <w:sz w:val="28"/>
          <w:szCs w:val="28"/>
          <w:lang w:eastAsia="en-US"/>
        </w:rPr>
        <w:t xml:space="preserve">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а також статей 1, 5 Закону України </w:t>
      </w:r>
      <w:r w:rsidR="003153F3" w:rsidRPr="00B51DA9">
        <w:rPr>
          <w:sz w:val="28"/>
          <w:szCs w:val="28"/>
        </w:rPr>
        <w:t>“</w:t>
      </w:r>
      <w:r w:rsidR="00F0641D" w:rsidRPr="00B51DA9">
        <w:rPr>
          <w:rStyle w:val="st24"/>
          <w:b w:val="0"/>
          <w:sz w:val="28"/>
          <w:szCs w:val="28"/>
        </w:rPr>
        <w:t>Про Національну комісію, що здійснює державне регулювання у сферах енергетики та комунальних послуг</w:t>
      </w:r>
      <w:r w:rsidR="003153F3" w:rsidRPr="00B51DA9">
        <w:rPr>
          <w:sz w:val="28"/>
          <w:szCs w:val="28"/>
        </w:rPr>
        <w:t>”</w:t>
      </w:r>
      <w:r w:rsidR="00F0641D" w:rsidRPr="00B51DA9">
        <w:rPr>
          <w:rStyle w:val="st42"/>
          <w:rFonts w:eastAsiaTheme="minorHAnsi"/>
          <w:sz w:val="28"/>
          <w:szCs w:val="28"/>
          <w:lang w:eastAsia="en-US"/>
        </w:rPr>
        <w:t xml:space="preserve">, за якими </w:t>
      </w:r>
      <w:r w:rsidR="003153F3" w:rsidRPr="00B51DA9">
        <w:rPr>
          <w:sz w:val="28"/>
          <w:szCs w:val="28"/>
        </w:rPr>
        <w:t>“</w:t>
      </w:r>
      <w:r w:rsidR="009C2EF7">
        <w:rPr>
          <w:sz w:val="28"/>
          <w:szCs w:val="28"/>
        </w:rPr>
        <w:t>п</w:t>
      </w:r>
      <w:r w:rsidR="00F0641D" w:rsidRPr="00B51DA9">
        <w:rPr>
          <w:rStyle w:val="st42"/>
          <w:sz w:val="28"/>
          <w:szCs w:val="28"/>
        </w:rPr>
        <w:t>ід час виконання своїх функцій та повноважень відповідно до закону Регулятор діє самостійно та незалежно від будь-якого іншого органу державної влади, іншого державного органу, органів місцевого самоврядування, їх посадових та службових осіб, суб’єктів господарювання</w:t>
      </w:r>
      <w:r w:rsidR="003153F3" w:rsidRPr="00B51DA9">
        <w:rPr>
          <w:sz w:val="28"/>
          <w:szCs w:val="28"/>
        </w:rPr>
        <w:t>”</w:t>
      </w:r>
      <w:r w:rsidR="00F0641D" w:rsidRPr="00B51DA9">
        <w:rPr>
          <w:rStyle w:val="st42"/>
          <w:sz w:val="28"/>
          <w:szCs w:val="28"/>
        </w:rPr>
        <w:t xml:space="preserve">, </w:t>
      </w:r>
      <w:r w:rsidR="009C2EF7">
        <w:rPr>
          <w:rStyle w:val="st42"/>
          <w:sz w:val="28"/>
          <w:szCs w:val="28"/>
        </w:rPr>
        <w:t>тоді як</w:t>
      </w:r>
      <w:r w:rsidR="00F0641D" w:rsidRPr="00B51DA9">
        <w:rPr>
          <w:rStyle w:val="st42"/>
          <w:sz w:val="28"/>
          <w:szCs w:val="28"/>
        </w:rPr>
        <w:t xml:space="preserve"> </w:t>
      </w:r>
      <w:r w:rsidR="003153F3" w:rsidRPr="00B51DA9">
        <w:rPr>
          <w:sz w:val="28"/>
          <w:szCs w:val="28"/>
        </w:rPr>
        <w:t>“</w:t>
      </w:r>
      <w:r w:rsidR="00F0641D" w:rsidRPr="00B51DA9">
        <w:rPr>
          <w:rStyle w:val="st42"/>
          <w:sz w:val="28"/>
          <w:szCs w:val="28"/>
        </w:rPr>
        <w:t>органам державної влади, органам місцевого самоврядування, їх посадовим і службовим особам, суб’єктам господарювання, політичним партіям, громадським об’єднанням, професійним спілкам та їх органам забороняється втручатися у процеси державного регулювання у сферах енергетики та комунальних послуг</w:t>
      </w:r>
      <w:r w:rsidR="003153F3" w:rsidRPr="00B51DA9">
        <w:rPr>
          <w:sz w:val="28"/>
          <w:szCs w:val="28"/>
        </w:rPr>
        <w:t>”</w:t>
      </w:r>
      <w:r w:rsidR="00F0641D" w:rsidRPr="00B51DA9">
        <w:rPr>
          <w:rStyle w:val="st42"/>
          <w:sz w:val="28"/>
          <w:szCs w:val="28"/>
        </w:rPr>
        <w:t>.</w:t>
      </w:r>
    </w:p>
    <w:p w:rsidR="00DC7E2A" w:rsidRPr="00B51DA9" w:rsidRDefault="00DC7E2A" w:rsidP="002B2FF7">
      <w:pPr>
        <w:spacing w:after="100"/>
        <w:ind w:firstLine="709"/>
        <w:jc w:val="both"/>
        <w:rPr>
          <w:sz w:val="28"/>
          <w:szCs w:val="28"/>
        </w:rPr>
      </w:pPr>
      <w:r w:rsidRPr="00B51DA9">
        <w:rPr>
          <w:b/>
          <w:sz w:val="28"/>
          <w:szCs w:val="28"/>
        </w:rPr>
        <w:t>Узагальнюючий висновок:</w:t>
      </w:r>
      <w:r w:rsidRPr="00B51DA9">
        <w:rPr>
          <w:sz w:val="28"/>
          <w:szCs w:val="28"/>
        </w:rPr>
        <w:t xml:space="preserve"> законопроект може бути прийнятий у другому читанні за умови врахування викладених зауважень.</w:t>
      </w:r>
    </w:p>
    <w:p w:rsidR="00DC7E2A" w:rsidRPr="00DC7E2A" w:rsidRDefault="00DC7E2A" w:rsidP="00DC7E2A">
      <w:pPr>
        <w:spacing w:after="60"/>
        <w:rPr>
          <w:sz w:val="28"/>
          <w:szCs w:val="28"/>
        </w:rPr>
      </w:pPr>
    </w:p>
    <w:p w:rsidR="00DC7E2A" w:rsidRPr="00DC7E2A" w:rsidRDefault="00DC7E2A" w:rsidP="00DC7E2A">
      <w:pPr>
        <w:rPr>
          <w:b/>
          <w:sz w:val="28"/>
          <w:szCs w:val="28"/>
        </w:rPr>
      </w:pPr>
      <w:r w:rsidRPr="00DC7E2A">
        <w:rPr>
          <w:b/>
          <w:sz w:val="28"/>
          <w:szCs w:val="28"/>
        </w:rPr>
        <w:t>Заступник керівника</w:t>
      </w:r>
    </w:p>
    <w:p w:rsidR="00DC7E2A" w:rsidRPr="00DC7E2A" w:rsidRDefault="00DC7E2A" w:rsidP="00DC7E2A">
      <w:pPr>
        <w:rPr>
          <w:b/>
          <w:sz w:val="28"/>
          <w:szCs w:val="28"/>
        </w:rPr>
      </w:pPr>
      <w:r w:rsidRPr="00DC7E2A">
        <w:rPr>
          <w:b/>
          <w:sz w:val="28"/>
          <w:szCs w:val="28"/>
        </w:rPr>
        <w:t xml:space="preserve">Головного управління </w:t>
      </w:r>
      <w:r w:rsidRPr="00DC7E2A">
        <w:rPr>
          <w:b/>
          <w:sz w:val="28"/>
          <w:szCs w:val="28"/>
        </w:rPr>
        <w:tab/>
      </w:r>
      <w:r w:rsidRPr="00DC7E2A">
        <w:rPr>
          <w:b/>
          <w:sz w:val="28"/>
          <w:szCs w:val="28"/>
        </w:rPr>
        <w:tab/>
      </w:r>
      <w:r w:rsidRPr="00DC7E2A">
        <w:rPr>
          <w:b/>
          <w:sz w:val="28"/>
          <w:szCs w:val="28"/>
        </w:rPr>
        <w:tab/>
      </w:r>
      <w:r w:rsidRPr="00DC7E2A">
        <w:rPr>
          <w:b/>
          <w:sz w:val="28"/>
          <w:szCs w:val="28"/>
        </w:rPr>
        <w:tab/>
      </w:r>
      <w:r w:rsidRPr="00DC7E2A">
        <w:rPr>
          <w:b/>
          <w:sz w:val="28"/>
          <w:szCs w:val="28"/>
        </w:rPr>
        <w:tab/>
        <w:t xml:space="preserve"> </w:t>
      </w:r>
      <w:r>
        <w:rPr>
          <w:b/>
          <w:sz w:val="28"/>
          <w:szCs w:val="28"/>
        </w:rPr>
        <w:tab/>
      </w:r>
      <w:r w:rsidRPr="00DC7E2A">
        <w:rPr>
          <w:b/>
          <w:sz w:val="28"/>
          <w:szCs w:val="28"/>
        </w:rPr>
        <w:t>В. МІЛОВАНОВ</w:t>
      </w:r>
    </w:p>
    <w:p w:rsidR="00DC7E2A" w:rsidRPr="00DC7E2A" w:rsidRDefault="00DC7E2A" w:rsidP="00DD511B">
      <w:pPr>
        <w:tabs>
          <w:tab w:val="left" w:pos="993"/>
        </w:tabs>
        <w:ind w:firstLine="709"/>
        <w:rPr>
          <w:sz w:val="28"/>
          <w:szCs w:val="28"/>
        </w:rPr>
      </w:pPr>
    </w:p>
    <w:sectPr w:rsidR="00DC7E2A" w:rsidRPr="00DC7E2A" w:rsidSect="002B2FF7">
      <w:headerReference w:type="default" r:id="rId8"/>
      <w:pgSz w:w="11906" w:h="16838"/>
      <w:pgMar w:top="850" w:right="850" w:bottom="568"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9A7" w:rsidRDefault="006169A7" w:rsidP="00BB560F">
      <w:r>
        <w:separator/>
      </w:r>
    </w:p>
  </w:endnote>
  <w:endnote w:type="continuationSeparator" w:id="0">
    <w:p w:rsidR="006169A7" w:rsidRDefault="006169A7" w:rsidP="00BB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9A7" w:rsidRDefault="006169A7" w:rsidP="00BB560F">
      <w:r>
        <w:separator/>
      </w:r>
    </w:p>
  </w:footnote>
  <w:footnote w:type="continuationSeparator" w:id="0">
    <w:p w:rsidR="006169A7" w:rsidRDefault="006169A7" w:rsidP="00BB5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554729"/>
      <w:docPartObj>
        <w:docPartGallery w:val="Page Numbers (Top of Page)"/>
        <w:docPartUnique/>
      </w:docPartObj>
    </w:sdtPr>
    <w:sdtEndPr/>
    <w:sdtContent>
      <w:p w:rsidR="00DD511B" w:rsidRDefault="00DD511B">
        <w:pPr>
          <w:pStyle w:val="a4"/>
          <w:jc w:val="right"/>
        </w:pPr>
        <w:r>
          <w:fldChar w:fldCharType="begin"/>
        </w:r>
        <w:r>
          <w:instrText>PAGE   \* MERGEFORMAT</w:instrText>
        </w:r>
        <w:r>
          <w:fldChar w:fldCharType="separate"/>
        </w:r>
        <w:r w:rsidR="0065511D">
          <w:rPr>
            <w:noProof/>
          </w:rPr>
          <w:t>2</w:t>
        </w:r>
        <w:r>
          <w:fldChar w:fldCharType="end"/>
        </w:r>
      </w:p>
    </w:sdtContent>
  </w:sdt>
  <w:p w:rsidR="00DD511B" w:rsidRDefault="00DD511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ECE2F94"/>
    <w:multiLevelType w:val="hybridMultilevel"/>
    <w:tmpl w:val="145C8270"/>
    <w:lvl w:ilvl="0" w:tplc="1EDC2386">
      <w:start w:val="3"/>
      <w:numFmt w:val="decimal"/>
      <w:lvlText w:val="%1."/>
      <w:lvlJc w:val="left"/>
      <w:pPr>
        <w:ind w:left="1146" w:hanging="360"/>
      </w:pPr>
      <w:rPr>
        <w:rFonts w:hint="default"/>
        <w:color w:val="000000"/>
      </w:r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2" w15:restartNumberingAfterBreak="0">
    <w:nsid w:val="17CD564C"/>
    <w:multiLevelType w:val="hybridMultilevel"/>
    <w:tmpl w:val="5CFCC484"/>
    <w:lvl w:ilvl="0" w:tplc="AF028C06">
      <w:start w:val="3"/>
      <w:numFmt w:val="decimal"/>
      <w:lvlText w:val="%1."/>
      <w:lvlJc w:val="left"/>
      <w:pPr>
        <w:ind w:left="1146" w:hanging="360"/>
      </w:pPr>
      <w:rPr>
        <w:rFonts w:hint="default"/>
        <w:b w:val="0"/>
        <w:color w:val="000000"/>
      </w:r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3" w15:restartNumberingAfterBreak="0">
    <w:nsid w:val="1DF60EAC"/>
    <w:multiLevelType w:val="hybridMultilevel"/>
    <w:tmpl w:val="C70A853E"/>
    <w:lvl w:ilvl="0" w:tplc="40D48830">
      <w:start w:val="4"/>
      <w:numFmt w:val="decimal"/>
      <w:lvlText w:val="%1."/>
      <w:lvlJc w:val="left"/>
      <w:pPr>
        <w:ind w:left="1069" w:hanging="360"/>
      </w:pPr>
      <w:rPr>
        <w:rFonts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770B21A7"/>
    <w:multiLevelType w:val="hybridMultilevel"/>
    <w:tmpl w:val="16FE82FE"/>
    <w:lvl w:ilvl="0" w:tplc="0422000F">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40C"/>
    <w:rsid w:val="00012CA7"/>
    <w:rsid w:val="000204E4"/>
    <w:rsid w:val="00202667"/>
    <w:rsid w:val="00205754"/>
    <w:rsid w:val="002B2FF7"/>
    <w:rsid w:val="002C3135"/>
    <w:rsid w:val="003153F3"/>
    <w:rsid w:val="00360CFF"/>
    <w:rsid w:val="003B6325"/>
    <w:rsid w:val="00414E2F"/>
    <w:rsid w:val="004B42F1"/>
    <w:rsid w:val="004C12CE"/>
    <w:rsid w:val="004F375E"/>
    <w:rsid w:val="005204CF"/>
    <w:rsid w:val="005308ED"/>
    <w:rsid w:val="00573181"/>
    <w:rsid w:val="005C6D38"/>
    <w:rsid w:val="006169A7"/>
    <w:rsid w:val="0065511D"/>
    <w:rsid w:val="006B168C"/>
    <w:rsid w:val="006C1C7E"/>
    <w:rsid w:val="00714373"/>
    <w:rsid w:val="00797CE8"/>
    <w:rsid w:val="007E219D"/>
    <w:rsid w:val="008B1159"/>
    <w:rsid w:val="00924DE7"/>
    <w:rsid w:val="009B05A7"/>
    <w:rsid w:val="009C2EF7"/>
    <w:rsid w:val="00A1081E"/>
    <w:rsid w:val="00A171BF"/>
    <w:rsid w:val="00AF447C"/>
    <w:rsid w:val="00B20F45"/>
    <w:rsid w:val="00B51DA9"/>
    <w:rsid w:val="00BB4096"/>
    <w:rsid w:val="00BB560F"/>
    <w:rsid w:val="00BD7E9E"/>
    <w:rsid w:val="00C23A61"/>
    <w:rsid w:val="00C31A15"/>
    <w:rsid w:val="00D108F0"/>
    <w:rsid w:val="00D10FE0"/>
    <w:rsid w:val="00D27B7E"/>
    <w:rsid w:val="00D52099"/>
    <w:rsid w:val="00D6640C"/>
    <w:rsid w:val="00DC7E2A"/>
    <w:rsid w:val="00DD511B"/>
    <w:rsid w:val="00DF5C3F"/>
    <w:rsid w:val="00E140D8"/>
    <w:rsid w:val="00E67B7A"/>
    <w:rsid w:val="00EB00F5"/>
    <w:rsid w:val="00EE04CA"/>
    <w:rsid w:val="00F0641D"/>
    <w:rsid w:val="00F06B04"/>
    <w:rsid w:val="00F83A13"/>
    <w:rsid w:val="00FE1C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F722E"/>
  <w15:chartTrackingRefBased/>
  <w15:docId w15:val="{168324BC-9CCC-4156-9701-9A99F4075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640C"/>
    <w:pPr>
      <w:spacing w:after="0" w:line="240" w:lineRule="auto"/>
    </w:pPr>
    <w:rPr>
      <w:rFonts w:eastAsia="Times New Roman" w:cs="Times New Roman"/>
      <w:sz w:val="20"/>
      <w:szCs w:val="20"/>
      <w:lang w:eastAsia="ru-RU"/>
    </w:rPr>
  </w:style>
  <w:style w:type="paragraph" w:styleId="1">
    <w:name w:val="heading 1"/>
    <w:basedOn w:val="a0"/>
    <w:next w:val="a0"/>
    <w:link w:val="10"/>
    <w:qFormat/>
    <w:rsid w:val="00A1081E"/>
    <w:pPr>
      <w:keepNext/>
      <w:autoSpaceDE w:val="0"/>
      <w:autoSpaceDN w:val="0"/>
      <w:jc w:val="center"/>
      <w:outlineLvl w:val="0"/>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Zakonu">
    <w:name w:val="StyleZakonu"/>
    <w:basedOn w:val="a0"/>
    <w:rsid w:val="00D6640C"/>
    <w:pPr>
      <w:spacing w:after="60" w:line="220" w:lineRule="exact"/>
      <w:ind w:firstLine="284"/>
      <w:jc w:val="both"/>
    </w:pPr>
  </w:style>
  <w:style w:type="paragraph" w:styleId="a4">
    <w:name w:val="header"/>
    <w:basedOn w:val="a0"/>
    <w:link w:val="a5"/>
    <w:unhideWhenUsed/>
    <w:rsid w:val="00BB560F"/>
    <w:pPr>
      <w:tabs>
        <w:tab w:val="center" w:pos="4819"/>
        <w:tab w:val="right" w:pos="9639"/>
      </w:tabs>
    </w:pPr>
  </w:style>
  <w:style w:type="character" w:customStyle="1" w:styleId="a5">
    <w:name w:val="Верхній колонтитул Знак"/>
    <w:basedOn w:val="a1"/>
    <w:link w:val="a4"/>
    <w:uiPriority w:val="99"/>
    <w:rsid w:val="00BB560F"/>
    <w:rPr>
      <w:rFonts w:eastAsia="Times New Roman" w:cs="Times New Roman"/>
      <w:sz w:val="20"/>
      <w:szCs w:val="20"/>
      <w:lang w:eastAsia="ru-RU"/>
    </w:rPr>
  </w:style>
  <w:style w:type="paragraph" w:styleId="a6">
    <w:name w:val="footer"/>
    <w:basedOn w:val="a0"/>
    <w:link w:val="a7"/>
    <w:uiPriority w:val="99"/>
    <w:unhideWhenUsed/>
    <w:rsid w:val="00BB560F"/>
    <w:pPr>
      <w:tabs>
        <w:tab w:val="center" w:pos="4819"/>
        <w:tab w:val="right" w:pos="9639"/>
      </w:tabs>
    </w:pPr>
  </w:style>
  <w:style w:type="character" w:customStyle="1" w:styleId="a7">
    <w:name w:val="Нижній колонтитул Знак"/>
    <w:basedOn w:val="a1"/>
    <w:link w:val="a6"/>
    <w:uiPriority w:val="99"/>
    <w:rsid w:val="00BB560F"/>
    <w:rPr>
      <w:rFonts w:eastAsia="Times New Roman" w:cs="Times New Roman"/>
      <w:sz w:val="20"/>
      <w:szCs w:val="20"/>
      <w:lang w:eastAsia="ru-RU"/>
    </w:rPr>
  </w:style>
  <w:style w:type="paragraph" w:styleId="a8">
    <w:name w:val="List Paragraph"/>
    <w:basedOn w:val="a0"/>
    <w:uiPriority w:val="34"/>
    <w:qFormat/>
    <w:rsid w:val="00BB560F"/>
    <w:pPr>
      <w:ind w:left="720"/>
      <w:contextualSpacing/>
    </w:pPr>
  </w:style>
  <w:style w:type="character" w:customStyle="1" w:styleId="st42">
    <w:name w:val="st42"/>
    <w:uiPriority w:val="99"/>
    <w:rsid w:val="009B05A7"/>
    <w:rPr>
      <w:rFonts w:ascii="Times New Roman" w:hAnsi="Times New Roman" w:cs="Times New Roman"/>
      <w:color w:val="000000"/>
    </w:rPr>
  </w:style>
  <w:style w:type="paragraph" w:customStyle="1" w:styleId="st0">
    <w:name w:val="st0"/>
    <w:rsid w:val="004F375E"/>
    <w:pPr>
      <w:autoSpaceDE w:val="0"/>
      <w:autoSpaceDN w:val="0"/>
      <w:adjustRightInd w:val="0"/>
      <w:spacing w:after="150" w:line="240" w:lineRule="auto"/>
      <w:ind w:left="450"/>
      <w:jc w:val="both"/>
    </w:pPr>
    <w:rPr>
      <w:rFonts w:ascii="Courier New" w:hAnsi="Courier New" w:cs="Courier New"/>
      <w:sz w:val="24"/>
      <w:szCs w:val="24"/>
      <w:lang w:val="ru-RU"/>
    </w:rPr>
  </w:style>
  <w:style w:type="paragraph" w:customStyle="1" w:styleId="st2">
    <w:name w:val="st2"/>
    <w:uiPriority w:val="99"/>
    <w:rsid w:val="004F375E"/>
    <w:pPr>
      <w:autoSpaceDE w:val="0"/>
      <w:autoSpaceDN w:val="0"/>
      <w:adjustRightInd w:val="0"/>
      <w:spacing w:after="150" w:line="240" w:lineRule="auto"/>
      <w:ind w:firstLine="450"/>
      <w:jc w:val="both"/>
    </w:pPr>
    <w:rPr>
      <w:rFonts w:ascii="Courier New" w:hAnsi="Courier New" w:cs="Courier New"/>
      <w:sz w:val="24"/>
      <w:szCs w:val="24"/>
      <w:lang w:val="ru-RU"/>
    </w:rPr>
  </w:style>
  <w:style w:type="character" w:customStyle="1" w:styleId="10">
    <w:name w:val="Заголовок 1 Знак"/>
    <w:basedOn w:val="a1"/>
    <w:link w:val="1"/>
    <w:rsid w:val="00A1081E"/>
    <w:rPr>
      <w:rFonts w:eastAsia="Times New Roman" w:cs="Times New Roman"/>
      <w:b/>
      <w:bCs/>
      <w:sz w:val="24"/>
      <w:szCs w:val="24"/>
      <w:lang w:eastAsia="ru-RU"/>
    </w:rPr>
  </w:style>
  <w:style w:type="paragraph" w:styleId="a">
    <w:name w:val="List Number"/>
    <w:basedOn w:val="a0"/>
    <w:rsid w:val="00A1081E"/>
    <w:pPr>
      <w:numPr>
        <w:numId w:val="2"/>
      </w:numPr>
      <w:tabs>
        <w:tab w:val="clear" w:pos="360"/>
        <w:tab w:val="num" w:pos="1440"/>
      </w:tabs>
      <w:autoSpaceDE w:val="0"/>
      <w:autoSpaceDN w:val="0"/>
      <w:ind w:left="0" w:firstLine="0"/>
    </w:pPr>
    <w:rPr>
      <w:sz w:val="24"/>
      <w:szCs w:val="24"/>
    </w:rPr>
  </w:style>
  <w:style w:type="character" w:customStyle="1" w:styleId="st96">
    <w:name w:val="st96"/>
    <w:uiPriority w:val="99"/>
    <w:rsid w:val="00A1081E"/>
    <w:rPr>
      <w:rFonts w:ascii="Times New Roman" w:hAnsi="Times New Roman" w:cs="Times New Roman"/>
      <w:color w:val="0000FF"/>
    </w:rPr>
  </w:style>
  <w:style w:type="paragraph" w:customStyle="1" w:styleId="StyleFooter">
    <w:name w:val="StyleFooter"/>
    <w:basedOn w:val="a0"/>
    <w:rsid w:val="00A1081E"/>
    <w:pPr>
      <w:spacing w:line="220" w:lineRule="exact"/>
    </w:pPr>
    <w:rPr>
      <w:sz w:val="10"/>
    </w:rPr>
  </w:style>
  <w:style w:type="paragraph" w:customStyle="1" w:styleId="st5">
    <w:name w:val="st5"/>
    <w:uiPriority w:val="99"/>
    <w:rsid w:val="000204E4"/>
    <w:pPr>
      <w:autoSpaceDE w:val="0"/>
      <w:autoSpaceDN w:val="0"/>
      <w:adjustRightInd w:val="0"/>
      <w:spacing w:after="0" w:line="240" w:lineRule="auto"/>
      <w:ind w:left="450" w:right="450"/>
      <w:jc w:val="center"/>
    </w:pPr>
    <w:rPr>
      <w:rFonts w:ascii="Courier New" w:hAnsi="Courier New" w:cs="Courier New"/>
      <w:sz w:val="24"/>
      <w:szCs w:val="24"/>
      <w:lang w:val="ru-RU"/>
    </w:rPr>
  </w:style>
  <w:style w:type="character" w:customStyle="1" w:styleId="st24">
    <w:name w:val="st24"/>
    <w:uiPriority w:val="99"/>
    <w:rsid w:val="00F0641D"/>
    <w:rPr>
      <w:rFonts w:ascii="Times New Roman" w:hAnsi="Times New Roman" w:cs="Times New Roman"/>
      <w:b/>
      <w:bCs/>
      <w:color w:val="000000"/>
      <w:sz w:val="32"/>
      <w:szCs w:val="32"/>
    </w:rPr>
  </w:style>
  <w:style w:type="character" w:styleId="a9">
    <w:name w:val="Strong"/>
    <w:qFormat/>
    <w:rsid w:val="00D27B7E"/>
    <w:rPr>
      <w:b/>
      <w:bCs/>
    </w:rPr>
  </w:style>
  <w:style w:type="paragraph" w:styleId="aa">
    <w:name w:val="Body Text Indent"/>
    <w:basedOn w:val="a0"/>
    <w:link w:val="ab"/>
    <w:rsid w:val="00A171BF"/>
    <w:pPr>
      <w:spacing w:after="120"/>
      <w:ind w:left="283"/>
    </w:pPr>
    <w:rPr>
      <w:sz w:val="24"/>
      <w:szCs w:val="24"/>
      <w:lang w:val="ru-RU"/>
    </w:rPr>
  </w:style>
  <w:style w:type="character" w:customStyle="1" w:styleId="ab">
    <w:name w:val="Основний текст з відступом Знак"/>
    <w:basedOn w:val="a1"/>
    <w:link w:val="aa"/>
    <w:rsid w:val="00A171BF"/>
    <w:rPr>
      <w:rFonts w:eastAsia="Times New Roman" w:cs="Times New Roman"/>
      <w:sz w:val="24"/>
      <w:szCs w:val="24"/>
      <w:lang w:val="ru-RU" w:eastAsia="ru-RU"/>
    </w:rPr>
  </w:style>
  <w:style w:type="paragraph" w:customStyle="1" w:styleId="ParagraphStyle">
    <w:name w:val="Paragraph Style"/>
    <w:rsid w:val="00F06B04"/>
    <w:pPr>
      <w:autoSpaceDE w:val="0"/>
      <w:autoSpaceDN w:val="0"/>
      <w:adjustRightInd w:val="0"/>
      <w:spacing w:after="0" w:line="240" w:lineRule="auto"/>
    </w:pPr>
    <w:rPr>
      <w:rFonts w:ascii="Courier New" w:hAnsi="Courier New" w:cs="Courier New"/>
      <w:sz w:val="24"/>
      <w:szCs w:val="24"/>
      <w:lang w:val="ru-RU"/>
    </w:rPr>
  </w:style>
  <w:style w:type="character" w:customStyle="1" w:styleId="FontStyle">
    <w:name w:val="Font Style"/>
    <w:uiPriority w:val="99"/>
    <w:rsid w:val="00F06B04"/>
    <w:rPr>
      <w:color w:val="000000"/>
      <w:sz w:val="20"/>
      <w:szCs w:val="20"/>
    </w:rPr>
  </w:style>
  <w:style w:type="paragraph" w:customStyle="1" w:styleId="Nazva">
    <w:name w:val="Nazva"/>
    <w:basedOn w:val="a0"/>
    <w:rsid w:val="00202667"/>
    <w:pPr>
      <w:jc w:val="center"/>
    </w:pPr>
    <w:rPr>
      <w:b/>
      <w:sz w:val="28"/>
      <w:szCs w:val="24"/>
    </w:rPr>
  </w:style>
  <w:style w:type="paragraph" w:styleId="ac">
    <w:name w:val="Balloon Text"/>
    <w:basedOn w:val="a0"/>
    <w:link w:val="ad"/>
    <w:uiPriority w:val="99"/>
    <w:semiHidden/>
    <w:unhideWhenUsed/>
    <w:rsid w:val="00B51DA9"/>
    <w:rPr>
      <w:rFonts w:ascii="Segoe UI" w:hAnsi="Segoe UI" w:cs="Segoe UI"/>
      <w:sz w:val="18"/>
      <w:szCs w:val="18"/>
    </w:rPr>
  </w:style>
  <w:style w:type="character" w:customStyle="1" w:styleId="ad">
    <w:name w:val="Текст у виносці Знак"/>
    <w:basedOn w:val="a1"/>
    <w:link w:val="ac"/>
    <w:uiPriority w:val="99"/>
    <w:semiHidden/>
    <w:rsid w:val="00B51DA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17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8C7BC-3D2E-4A51-AD21-7152EF4D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7235</Words>
  <Characters>4124</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2</cp:revision>
  <cp:lastPrinted>2017-06-14T08:22:00Z</cp:lastPrinted>
  <dcterms:created xsi:type="dcterms:W3CDTF">2017-06-14T08:47:00Z</dcterms:created>
  <dcterms:modified xsi:type="dcterms:W3CDTF">2017-06-14T08:47:00Z</dcterms:modified>
</cp:coreProperties>
</file>