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69C" w:rsidRPr="000C481F" w:rsidRDefault="0021069C" w:rsidP="0021069C">
      <w:pPr>
        <w:ind w:left="5670"/>
        <w:jc w:val="center"/>
        <w:rPr>
          <w:sz w:val="20"/>
          <w:szCs w:val="20"/>
        </w:rPr>
      </w:pPr>
      <w:bookmarkStart w:id="0" w:name="_GoBack"/>
      <w:bookmarkEnd w:id="0"/>
      <w:r w:rsidRPr="000C481F">
        <w:rPr>
          <w:sz w:val="20"/>
          <w:szCs w:val="20"/>
        </w:rPr>
        <w:t>До реєстр. № </w:t>
      </w:r>
      <w:r w:rsidR="00CF518F" w:rsidRPr="000C481F">
        <w:rPr>
          <w:sz w:val="20"/>
          <w:szCs w:val="20"/>
        </w:rPr>
        <w:t>4928</w:t>
      </w:r>
      <w:r w:rsidRPr="000C481F">
        <w:rPr>
          <w:sz w:val="20"/>
          <w:szCs w:val="20"/>
        </w:rPr>
        <w:t xml:space="preserve"> від </w:t>
      </w:r>
      <w:r w:rsidR="00CF518F" w:rsidRPr="000C481F">
        <w:rPr>
          <w:sz w:val="20"/>
          <w:szCs w:val="20"/>
        </w:rPr>
        <w:t>08</w:t>
      </w:r>
      <w:r w:rsidRPr="000C481F">
        <w:rPr>
          <w:sz w:val="20"/>
          <w:szCs w:val="20"/>
        </w:rPr>
        <w:t>.</w:t>
      </w:r>
      <w:r w:rsidR="00CF518F" w:rsidRPr="000C481F">
        <w:rPr>
          <w:sz w:val="20"/>
          <w:szCs w:val="20"/>
        </w:rPr>
        <w:t>07</w:t>
      </w:r>
      <w:r w:rsidRPr="000C481F">
        <w:rPr>
          <w:sz w:val="20"/>
          <w:szCs w:val="20"/>
        </w:rPr>
        <w:t>.201</w:t>
      </w:r>
      <w:r w:rsidR="00CF518F" w:rsidRPr="000C481F">
        <w:rPr>
          <w:sz w:val="20"/>
          <w:szCs w:val="20"/>
        </w:rPr>
        <w:t>6</w:t>
      </w:r>
      <w:r w:rsidRPr="000C481F">
        <w:rPr>
          <w:sz w:val="20"/>
          <w:szCs w:val="20"/>
        </w:rPr>
        <w:br/>
        <w:t>(друге читання)</w:t>
      </w:r>
    </w:p>
    <w:p w:rsidR="0021069C" w:rsidRPr="000C481F" w:rsidRDefault="0021069C" w:rsidP="006F2585">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jc w:val="center"/>
      </w:pPr>
    </w:p>
    <w:p w:rsidR="0021069C" w:rsidRPr="000C481F" w:rsidRDefault="0021069C" w:rsidP="0021069C">
      <w:pPr>
        <w:spacing w:after="60"/>
        <w:ind w:right="85"/>
        <w:jc w:val="center"/>
        <w:rPr>
          <w:b/>
        </w:rPr>
      </w:pPr>
      <w:r w:rsidRPr="000C481F">
        <w:rPr>
          <w:b/>
        </w:rPr>
        <w:t>ЗАУВАЖЕННЯ</w:t>
      </w:r>
    </w:p>
    <w:p w:rsidR="0021069C" w:rsidRPr="000C481F" w:rsidRDefault="0021069C" w:rsidP="00CF518F">
      <w:pPr>
        <w:pStyle w:val="a3"/>
        <w:jc w:val="center"/>
        <w:rPr>
          <w:lang w:val="uk-UA"/>
        </w:rPr>
      </w:pPr>
      <w:r w:rsidRPr="000C481F">
        <w:rPr>
          <w:lang w:val="uk-UA"/>
        </w:rPr>
        <w:t xml:space="preserve">до проекту Закону України про внесення змін до деяких законодавчих актів щодо </w:t>
      </w:r>
      <w:r w:rsidR="00CF518F" w:rsidRPr="000C481F">
        <w:rPr>
          <w:lang w:val="uk-UA"/>
        </w:rPr>
        <w:t xml:space="preserve">покращення права дитини на належне утримання шляхом вдосконалення </w:t>
      </w:r>
      <w:r w:rsidR="00CE0B3A" w:rsidRPr="000C481F">
        <w:rPr>
          <w:lang w:val="uk-UA"/>
        </w:rPr>
        <w:t>порядку стягнення аліментів</w:t>
      </w:r>
    </w:p>
    <w:p w:rsidR="0021069C" w:rsidRPr="000C481F" w:rsidRDefault="0021069C" w:rsidP="0021069C">
      <w:pPr>
        <w:pStyle w:val="a3"/>
        <w:jc w:val="center"/>
        <w:rPr>
          <w:lang w:val="uk-UA"/>
        </w:rPr>
      </w:pPr>
      <w:r w:rsidRPr="000C481F">
        <w:rPr>
          <w:lang w:val="uk-UA"/>
        </w:rPr>
        <w:t>(реєстр. № </w:t>
      </w:r>
      <w:r w:rsidR="00CE0B3A" w:rsidRPr="000C481F">
        <w:rPr>
          <w:lang w:val="uk-UA"/>
        </w:rPr>
        <w:t>4928</w:t>
      </w:r>
      <w:r w:rsidRPr="000C481F">
        <w:rPr>
          <w:lang w:val="uk-UA"/>
        </w:rPr>
        <w:t>)</w:t>
      </w:r>
    </w:p>
    <w:p w:rsidR="0021069C" w:rsidRPr="000C481F" w:rsidRDefault="0021069C" w:rsidP="0021069C">
      <w:pPr>
        <w:pStyle w:val="a3"/>
        <w:ind w:firstLine="567"/>
        <w:jc w:val="both"/>
        <w:rPr>
          <w:sz w:val="20"/>
          <w:szCs w:val="20"/>
          <w:lang w:val="uk-UA"/>
        </w:rPr>
      </w:pPr>
    </w:p>
    <w:p w:rsidR="0021069C" w:rsidRPr="000C481F" w:rsidRDefault="0021069C" w:rsidP="006F2585">
      <w:pPr>
        <w:ind w:firstLine="709"/>
        <w:jc w:val="both"/>
      </w:pPr>
      <w:r w:rsidRPr="000C481F">
        <w:t xml:space="preserve">У Головному юридичному управлінні розглянуто зазначений законопроект, підготовлений Комітетом з питань </w:t>
      </w:r>
      <w:r w:rsidR="00CE0B3A" w:rsidRPr="000C481F">
        <w:t>сім’ї, молодіжної політики, спорту та туризму</w:t>
      </w:r>
      <w:r w:rsidRPr="000C481F">
        <w:t xml:space="preserve"> до другого читання, та висловлюються такі зауваження.</w:t>
      </w:r>
    </w:p>
    <w:p w:rsidR="00CE0B3A" w:rsidRPr="000C481F" w:rsidRDefault="00CE0B3A" w:rsidP="006F2585">
      <w:pPr>
        <w:ind w:firstLine="709"/>
        <w:jc w:val="both"/>
      </w:pPr>
      <w:r w:rsidRPr="000C481F">
        <w:t>Погоджуючись із необхідністю вдосконалення механізму захисту права дитини на належне утримання, звертаємо увагу на наступне.</w:t>
      </w:r>
    </w:p>
    <w:p w:rsidR="00F84217" w:rsidRPr="000C481F" w:rsidRDefault="00F84217" w:rsidP="006F2585">
      <w:pPr>
        <w:ind w:firstLine="709"/>
        <w:jc w:val="both"/>
      </w:pPr>
      <w:r w:rsidRPr="000C481F">
        <w:t>1. </w:t>
      </w:r>
      <w:r w:rsidR="00385251" w:rsidRPr="000C481F">
        <w:t>По тексту законопроекту застосову</w:t>
      </w:r>
      <w:r w:rsidR="000C481F" w:rsidRPr="000C481F">
        <w:t>ю</w:t>
      </w:r>
      <w:r w:rsidR="00385251" w:rsidRPr="000C481F">
        <w:t xml:space="preserve">ться </w:t>
      </w:r>
      <w:r w:rsidR="000C481F" w:rsidRPr="000C481F">
        <w:t>словосполучення</w:t>
      </w:r>
      <w:r w:rsidR="00385251" w:rsidRPr="000C481F">
        <w:t xml:space="preserve"> «спосіб стягнення аліментів, визначений рішенням суду або домовленістю між батьками, змінюється за рішенням суду за позовом одержувача аліментів або за домовленістю між батьками» (новий абзац другий частини третьої статті 181 Сімейного кодексу України); «розмір аліментів, визначений судом або домовленістю між батьками у твердій грошовій сумі, підлягає індексації відповідно до закону» (нова частина друга статті 184 Сімейного кодексу України); «у разі виникнення заборгованості з вини особи, яка зобов’язана сплачувати аліменти за рішенням суду або за домовленістю між батьками…» (нова частина перша статті 196 Сімейного кодексу України). На нашу думку, застосування </w:t>
      </w:r>
      <w:r w:rsidR="000C481F" w:rsidRPr="000C481F">
        <w:t>подібних словосполучень</w:t>
      </w:r>
      <w:r w:rsidR="00385251" w:rsidRPr="000C481F">
        <w:t xml:space="preserve"> є </w:t>
      </w:r>
      <w:r w:rsidR="000C481F" w:rsidRPr="000C481F">
        <w:t xml:space="preserve">юридично </w:t>
      </w:r>
      <w:r w:rsidR="00385251" w:rsidRPr="000C481F">
        <w:t>некоректним і може призвести до порушень стат</w:t>
      </w:r>
      <w:r w:rsidR="006F2585" w:rsidRPr="000C481F">
        <w:t>ей</w:t>
      </w:r>
      <w:r w:rsidR="00385251" w:rsidRPr="000C481F">
        <w:t xml:space="preserve"> 124</w:t>
      </w:r>
      <w:r w:rsidR="006F2585" w:rsidRPr="000C481F">
        <w:t xml:space="preserve"> і 129</w:t>
      </w:r>
      <w:r w:rsidR="006F2585" w:rsidRPr="000C481F">
        <w:rPr>
          <w:vertAlign w:val="superscript"/>
        </w:rPr>
        <w:t>1</w:t>
      </w:r>
      <w:r w:rsidR="00385251" w:rsidRPr="000C481F">
        <w:t xml:space="preserve"> Конституції України, згідно з як</w:t>
      </w:r>
      <w:r w:rsidR="006F2585" w:rsidRPr="000C481F">
        <w:t>ими</w:t>
      </w:r>
      <w:r w:rsidR="00385251" w:rsidRPr="000C481F">
        <w:t xml:space="preserve"> правосуддя в Україні здійснюють виключно суди</w:t>
      </w:r>
      <w:r w:rsidR="006F2585" w:rsidRPr="000C481F">
        <w:t xml:space="preserve">, а </w:t>
      </w:r>
      <w:r w:rsidR="006F2585" w:rsidRPr="000C481F">
        <w:rPr>
          <w:rStyle w:val="rvts0"/>
        </w:rPr>
        <w:t>судове рішення є обов’язковим до виконання</w:t>
      </w:r>
      <w:r w:rsidR="00385251" w:rsidRPr="000C481F">
        <w:t xml:space="preserve">, </w:t>
      </w:r>
      <w:r w:rsidRPr="000C481F">
        <w:t xml:space="preserve">статті 14 Цивільного процесуального кодексу </w:t>
      </w:r>
      <w:r w:rsidR="00385251" w:rsidRPr="000C481F">
        <w:t>та статті 13 Закону України «Про судоустрій</w:t>
      </w:r>
      <w:r w:rsidRPr="000C481F">
        <w:t xml:space="preserve"> і статус суддів</w:t>
      </w:r>
      <w:r w:rsidR="00385251" w:rsidRPr="000C481F">
        <w:t>», згідно з як</w:t>
      </w:r>
      <w:r w:rsidRPr="000C481F">
        <w:t>ими</w:t>
      </w:r>
      <w:r w:rsidR="00385251" w:rsidRPr="000C481F">
        <w:t xml:space="preserve"> судові рішення, що набрали законної сили, є обов’язковими до виконання всіма органами державної влади, органами місцевого самоврядування, їх посадовими та службовими особами, фізичними і юридичними особами та їх об’єднаннями на всій території України. Невиконання судових рішень має наслідком юридичну відповідальність, установлену законом. Судові рішення не можуть бути переглянуті іншими органами чи особами поза межами судочинства, за винятком рішень про амністію та помилування.</w:t>
      </w:r>
      <w:r w:rsidRPr="000C481F">
        <w:t xml:space="preserve"> Органи державної влади та органи місцевого самоврядування, їх посадові особи не можуть приймати рішення, які скасовують судові рішення або зупиняють їх виконання.</w:t>
      </w:r>
    </w:p>
    <w:p w:rsidR="00F84217" w:rsidRPr="000C481F" w:rsidRDefault="00F84217" w:rsidP="006F2585">
      <w:pPr>
        <w:ind w:firstLine="709"/>
        <w:jc w:val="both"/>
        <w:rPr>
          <w:rStyle w:val="rvts0"/>
        </w:rPr>
      </w:pPr>
      <w:r w:rsidRPr="000C481F">
        <w:t>2. </w:t>
      </w:r>
      <w:r w:rsidR="006F2585" w:rsidRPr="000C481F">
        <w:t>Законопроектом</w:t>
      </w:r>
      <w:r w:rsidRPr="000C481F">
        <w:t xml:space="preserve"> пропону</w:t>
      </w:r>
      <w:r w:rsidR="006F2585" w:rsidRPr="000C481F">
        <w:t>ю</w:t>
      </w:r>
      <w:r w:rsidRPr="000C481F">
        <w:t xml:space="preserve">ться зміни </w:t>
      </w:r>
      <w:r w:rsidR="006F2585" w:rsidRPr="000C481F">
        <w:t xml:space="preserve">до </w:t>
      </w:r>
      <w:r w:rsidR="00740B29" w:rsidRPr="000C481F">
        <w:t xml:space="preserve">статті 182 Сімейного кодексу України щодо </w:t>
      </w:r>
      <w:r w:rsidR="006F2585" w:rsidRPr="000C481F">
        <w:t xml:space="preserve">переліку обставин, які </w:t>
      </w:r>
      <w:r w:rsidR="006F2585" w:rsidRPr="000C481F">
        <w:rPr>
          <w:rStyle w:val="rvts0"/>
        </w:rPr>
        <w:t xml:space="preserve">враховуються судом при визначенні </w:t>
      </w:r>
      <w:r w:rsidR="006F2585" w:rsidRPr="000C481F">
        <w:rPr>
          <w:rStyle w:val="rvts0"/>
        </w:rPr>
        <w:lastRenderedPageBreak/>
        <w:t xml:space="preserve">розміру аліментів, </w:t>
      </w:r>
      <w:r w:rsidR="00740B29" w:rsidRPr="000C481F">
        <w:rPr>
          <w:rStyle w:val="rvts0"/>
        </w:rPr>
        <w:t>що передбачають</w:t>
      </w:r>
      <w:r w:rsidRPr="000C481F">
        <w:rPr>
          <w:rStyle w:val="rvts0"/>
        </w:rPr>
        <w:t xml:space="preserve"> необхідність платнику аліментів «доводити джерело походження коштів».</w:t>
      </w:r>
    </w:p>
    <w:p w:rsidR="006D0F2A" w:rsidRPr="000C481F" w:rsidRDefault="00F02663" w:rsidP="006F2585">
      <w:pPr>
        <w:ind w:firstLine="709"/>
        <w:jc w:val="both"/>
        <w:rPr>
          <w:rStyle w:val="rvts0"/>
        </w:rPr>
      </w:pPr>
      <w:r w:rsidRPr="000C481F">
        <w:rPr>
          <w:rStyle w:val="rvts0"/>
        </w:rPr>
        <w:t xml:space="preserve">Однак, відповідно до частини першої статті 31 Цивільного процесуального кодексу України сторони мають рівні процесуальні права і обов’язки. </w:t>
      </w:r>
      <w:r w:rsidR="006D0F2A" w:rsidRPr="000C481F">
        <w:rPr>
          <w:rStyle w:val="rvts0"/>
        </w:rPr>
        <w:t xml:space="preserve">У разі прийняття запропонованої </w:t>
      </w:r>
      <w:r w:rsidR="00740B29" w:rsidRPr="000C481F">
        <w:rPr>
          <w:rStyle w:val="rvts0"/>
        </w:rPr>
        <w:t>зміни</w:t>
      </w:r>
      <w:r w:rsidR="006D0F2A" w:rsidRPr="000C481F">
        <w:rPr>
          <w:rStyle w:val="rvts0"/>
        </w:rPr>
        <w:t>, на нашу думку, буде порушено один із принципів судочинства – змагальність сторін, відповідно до якого сторони та інші особи, які беруть участь у справі, мають рівні права щодо подання доказів, їх дослідження та доведення перед судом їх переконливості.</w:t>
      </w:r>
      <w:bookmarkStart w:id="1" w:name="n70"/>
      <w:bookmarkEnd w:id="1"/>
      <w:r w:rsidR="006D0F2A" w:rsidRPr="000C481F">
        <w:rPr>
          <w:rStyle w:val="rvts0"/>
        </w:rPr>
        <w:t xml:space="preserve"> </w:t>
      </w:r>
      <w:r w:rsidR="006D0F2A" w:rsidRPr="000C481F">
        <w:rPr>
          <w:rStyle w:val="rvts0"/>
          <w:u w:val="single"/>
        </w:rPr>
        <w:t>Кожна сторона повинна довести ті обставини, на які вона посилається як на підставу своїх вимог або заперечень</w:t>
      </w:r>
      <w:r w:rsidR="006D0F2A" w:rsidRPr="000C481F">
        <w:rPr>
          <w:rStyle w:val="rvts0"/>
        </w:rPr>
        <w:t>, крім випадків, встановлених цим Кодексом</w:t>
      </w:r>
      <w:r w:rsidR="00740B29" w:rsidRPr="000C481F">
        <w:rPr>
          <w:rStyle w:val="rvts0"/>
        </w:rPr>
        <w:t xml:space="preserve"> (стаття 10 Цивільного процесуального кодексу України)</w:t>
      </w:r>
      <w:r w:rsidR="006D0F2A" w:rsidRPr="000C481F">
        <w:rPr>
          <w:rStyle w:val="rvts0"/>
        </w:rPr>
        <w:t>.</w:t>
      </w:r>
    </w:p>
    <w:p w:rsidR="00385251" w:rsidRPr="000C481F" w:rsidRDefault="006D0F2A" w:rsidP="006F2585">
      <w:pPr>
        <w:ind w:firstLine="709"/>
        <w:jc w:val="both"/>
      </w:pPr>
      <w:r w:rsidRPr="000C481F">
        <w:rPr>
          <w:rStyle w:val="rvts0"/>
        </w:rPr>
        <w:t>3</w:t>
      </w:r>
      <w:r w:rsidRPr="000C481F">
        <w:t>. Пунктом 2 розділу ІІ «Прикінцеві положення» законопроекту пропонується установити, що «</w:t>
      </w:r>
      <w:r w:rsidR="00740B29" w:rsidRPr="000C481F">
        <w:t>д</w:t>
      </w:r>
      <w:r w:rsidRPr="000C481F">
        <w:t>о правовідносин щодо стягнення аліментів на дитину у розмірі не менше 30 відсотків прожиткового мінімуму для дитини відповідного віку, що виникли до набрання чинності цим Законом</w:t>
      </w:r>
      <w:r w:rsidRPr="000C481F">
        <w:rPr>
          <w:u w:val="single"/>
        </w:rPr>
        <w:t>, у тому числі за рішенням суду про стягнення аліментів у розмірі не менше 30 відсотків прожиткового мінімуму для дитини відповідного віку, застосовуються положення цього Закону</w:t>
      </w:r>
      <w:r w:rsidRPr="000C481F">
        <w:t xml:space="preserve"> в частині стягнення аліментів на дитину у розмірі не менше 50 відсотків прожиткового мінімуму для дитини відповідного віку».</w:t>
      </w:r>
    </w:p>
    <w:p w:rsidR="006D0F2A" w:rsidRPr="000C481F" w:rsidRDefault="006D0F2A" w:rsidP="006F2585">
      <w:pPr>
        <w:ind w:firstLine="709"/>
        <w:jc w:val="both"/>
      </w:pPr>
      <w:r w:rsidRPr="000C481F">
        <w:t xml:space="preserve">Звертаємо увагу, що відповідно до статті 6 Конституції України </w:t>
      </w:r>
      <w:r w:rsidR="00740B29" w:rsidRPr="000C481F">
        <w:t>д</w:t>
      </w:r>
      <w:r w:rsidRPr="000C481F">
        <w:t>ержавна влада в Україні здійснюється на засадах її поділу на законодавчу, виконавчу та судову.</w:t>
      </w:r>
      <w:bookmarkStart w:id="2" w:name="n4189"/>
      <w:bookmarkEnd w:id="2"/>
      <w:r w:rsidR="006F2585" w:rsidRPr="000C481F">
        <w:t xml:space="preserve"> </w:t>
      </w:r>
      <w:r w:rsidRPr="000C481F">
        <w:t>Органи законодавчої, виконавчої та судової влади здійснюють свої повноваження у встановлених цією Конституцією межах і відповідно до законів України.</w:t>
      </w:r>
    </w:p>
    <w:p w:rsidR="006F2585" w:rsidRPr="000C481F" w:rsidRDefault="006F2585" w:rsidP="006F2585">
      <w:pPr>
        <w:ind w:firstLine="709"/>
        <w:jc w:val="both"/>
      </w:pPr>
      <w:r w:rsidRPr="000C481F">
        <w:t>Відповідно до частини сьомої статті 13 Закону України «Про судоустрій і статус суддів» судові рішення не можуть бути переглянуті іншими органами чи особами поза межами судочинства, за винятком рішень про амністію та помилування.</w:t>
      </w:r>
      <w:bookmarkStart w:id="3" w:name="n64"/>
      <w:bookmarkEnd w:id="3"/>
      <w:r w:rsidRPr="000C481F">
        <w:t xml:space="preserve"> Органи державної влади та органи місцевого самоврядування, їх посадові особи не можуть приймати рішення, які скасовують судові рішення або зупиняють їх виконання.</w:t>
      </w:r>
    </w:p>
    <w:p w:rsidR="006F2585" w:rsidRPr="000C481F" w:rsidRDefault="006F2585" w:rsidP="006F2585">
      <w:pPr>
        <w:ind w:firstLine="709"/>
        <w:jc w:val="both"/>
      </w:pPr>
      <w:r w:rsidRPr="000C481F">
        <w:t>Таким чином, ухвалюючи закони, Верховна Рада України не може втручатись у здійснення судами правосуддя.</w:t>
      </w:r>
    </w:p>
    <w:p w:rsidR="006D0F2A" w:rsidRPr="000C481F" w:rsidRDefault="006D0F2A" w:rsidP="006F2585">
      <w:pPr>
        <w:ind w:firstLine="709"/>
        <w:jc w:val="both"/>
      </w:pPr>
      <w:r w:rsidRPr="000C481F">
        <w:t>4</w:t>
      </w:r>
      <w:r w:rsidR="00740B29" w:rsidRPr="000C481F">
        <w:t>. Положення пункту 3 р</w:t>
      </w:r>
      <w:r w:rsidRPr="000C481F">
        <w:t>озділ</w:t>
      </w:r>
      <w:r w:rsidR="00740B29" w:rsidRPr="000C481F">
        <w:t>у</w:t>
      </w:r>
      <w:r w:rsidRPr="000C481F">
        <w:t xml:space="preserve"> ІІ «Прикінцеві положення» законопроекту щодо визначення термінів набрання чинності цим Законом (з дня, наступного за днем його опублікування) та виконання наданих Кабінету Міністрів України доручень (у тримісячний строк з дня набрання </w:t>
      </w:r>
      <w:r w:rsidR="00740B29" w:rsidRPr="000C481F">
        <w:t xml:space="preserve">цим Законом </w:t>
      </w:r>
      <w:r w:rsidRPr="000C481F">
        <w:t>чинності) є юридично некоректним, оскільки реалізація положень закону ставиться у залежність від прийняття у майбутньому підзаконних нормативно-правових актів.</w:t>
      </w:r>
    </w:p>
    <w:p w:rsidR="006D0F2A" w:rsidRPr="000C481F" w:rsidRDefault="006D0F2A" w:rsidP="006F2585">
      <w:pPr>
        <w:ind w:firstLine="709"/>
        <w:jc w:val="both"/>
        <w:rPr>
          <w:b/>
          <w:sz w:val="20"/>
          <w:szCs w:val="20"/>
        </w:rPr>
      </w:pPr>
    </w:p>
    <w:p w:rsidR="006D0F2A" w:rsidRPr="000C481F" w:rsidRDefault="006D0F2A" w:rsidP="006F2585">
      <w:pPr>
        <w:ind w:firstLine="709"/>
        <w:jc w:val="both"/>
      </w:pPr>
      <w:r w:rsidRPr="000C481F">
        <w:rPr>
          <w:b/>
        </w:rPr>
        <w:t>Узагальнюючий висновок:</w:t>
      </w:r>
      <w:r w:rsidRPr="000C481F">
        <w:t xml:space="preserve"> законопроект потребує доопрацювання з урахуванням викладених зауважень.</w:t>
      </w:r>
    </w:p>
    <w:p w:rsidR="006D0F2A" w:rsidRPr="000C481F" w:rsidRDefault="006D0F2A" w:rsidP="006F2585">
      <w:pPr>
        <w:jc w:val="both"/>
        <w:rPr>
          <w:sz w:val="20"/>
          <w:szCs w:val="20"/>
        </w:rPr>
      </w:pPr>
    </w:p>
    <w:p w:rsidR="006F2585" w:rsidRPr="000C481F" w:rsidRDefault="006F2585" w:rsidP="006F2585">
      <w:pPr>
        <w:jc w:val="both"/>
        <w:rPr>
          <w:sz w:val="20"/>
          <w:szCs w:val="20"/>
        </w:rPr>
      </w:pPr>
    </w:p>
    <w:p w:rsidR="000C481F" w:rsidRPr="000C481F" w:rsidRDefault="000C481F" w:rsidP="006F2585">
      <w:pPr>
        <w:jc w:val="both"/>
        <w:rPr>
          <w:sz w:val="20"/>
          <w:szCs w:val="20"/>
        </w:rPr>
      </w:pPr>
    </w:p>
    <w:p w:rsidR="000C481F" w:rsidRPr="000C481F" w:rsidRDefault="000C481F" w:rsidP="000C481F">
      <w:pPr>
        <w:jc w:val="both"/>
        <w:rPr>
          <w:b/>
          <w:bCs/>
        </w:rPr>
      </w:pPr>
      <w:r w:rsidRPr="000C481F">
        <w:rPr>
          <w:b/>
          <w:bCs/>
        </w:rPr>
        <w:t>Перший заступник керівника</w:t>
      </w:r>
    </w:p>
    <w:p w:rsidR="006F2585" w:rsidRPr="000C481F" w:rsidRDefault="000C481F" w:rsidP="000C481F">
      <w:r w:rsidRPr="000C481F">
        <w:rPr>
          <w:b/>
          <w:bCs/>
        </w:rPr>
        <w:t>Головного управління                                                                    А. НИЖНИК</w:t>
      </w:r>
    </w:p>
    <w:sectPr w:rsidR="006F2585" w:rsidRPr="000C481F" w:rsidSect="006F2585">
      <w:pgSz w:w="11906" w:h="16838"/>
      <w:pgMar w:top="850" w:right="850" w:bottom="709" w:left="1417" w:header="709" w:footer="709" w:gutter="0"/>
      <w:cols w:space="708"/>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43"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Antiqua">
    <w:altName w:val="Century Gothic"/>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alibri Light">
    <w:altName w:val="Calibri"/>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069C"/>
    <w:rsid w:val="000329E0"/>
    <w:rsid w:val="000C481F"/>
    <w:rsid w:val="00173075"/>
    <w:rsid w:val="001C4BCF"/>
    <w:rsid w:val="001C64ED"/>
    <w:rsid w:val="0021069C"/>
    <w:rsid w:val="00230BA0"/>
    <w:rsid w:val="00276041"/>
    <w:rsid w:val="002C1434"/>
    <w:rsid w:val="00333542"/>
    <w:rsid w:val="00385251"/>
    <w:rsid w:val="00385AFA"/>
    <w:rsid w:val="00492ECE"/>
    <w:rsid w:val="004A3971"/>
    <w:rsid w:val="00500062"/>
    <w:rsid w:val="00585E74"/>
    <w:rsid w:val="006D0F2A"/>
    <w:rsid w:val="006F2585"/>
    <w:rsid w:val="00740B29"/>
    <w:rsid w:val="0078407B"/>
    <w:rsid w:val="0082610D"/>
    <w:rsid w:val="0086279F"/>
    <w:rsid w:val="008E4017"/>
    <w:rsid w:val="00A00A4F"/>
    <w:rsid w:val="00AE2B58"/>
    <w:rsid w:val="00B02B9A"/>
    <w:rsid w:val="00B74BF5"/>
    <w:rsid w:val="00B967C8"/>
    <w:rsid w:val="00C21A4B"/>
    <w:rsid w:val="00C25E35"/>
    <w:rsid w:val="00C717F9"/>
    <w:rsid w:val="00CE0B3A"/>
    <w:rsid w:val="00CF518F"/>
    <w:rsid w:val="00DE285B"/>
    <w:rsid w:val="00E7671C"/>
    <w:rsid w:val="00F02663"/>
    <w:rsid w:val="00F84217"/>
    <w:rsid w:val="00FB0546"/>
    <w:rsid w:val="00FD567D"/>
    <w:rsid w:val="00FF13F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4B02F77-1178-418D-8C39-62EA00999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uk-UA"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1069C"/>
    <w:pPr>
      <w:jc w:val="left"/>
    </w:pPr>
    <w:rPr>
      <w:rFonts w:eastAsia="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21069C"/>
    <w:pPr>
      <w:jc w:val="left"/>
    </w:pPr>
    <w:rPr>
      <w:rFonts w:cstheme="minorBidi"/>
      <w:szCs w:val="22"/>
      <w:lang w:val="ru-RU"/>
    </w:rPr>
  </w:style>
  <w:style w:type="character" w:customStyle="1" w:styleId="rvts0">
    <w:name w:val="rvts0"/>
    <w:basedOn w:val="a0"/>
    <w:rsid w:val="0021069C"/>
  </w:style>
  <w:style w:type="table" w:styleId="a4">
    <w:name w:val="Table Grid"/>
    <w:basedOn w:val="a1"/>
    <w:rsid w:val="0021069C"/>
    <w:pPr>
      <w:jc w:val="left"/>
    </w:pPr>
    <w:rPr>
      <w:rFonts w:eastAsia="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385251"/>
    <w:pPr>
      <w:spacing w:before="100" w:beforeAutospacing="1" w:after="100" w:afterAutospacing="1"/>
    </w:pPr>
    <w:rPr>
      <w:sz w:val="24"/>
      <w:szCs w:val="24"/>
      <w:lang w:eastAsia="uk-UA"/>
    </w:rPr>
  </w:style>
  <w:style w:type="paragraph" w:styleId="a5">
    <w:name w:val="List Paragraph"/>
    <w:basedOn w:val="a"/>
    <w:uiPriority w:val="34"/>
    <w:qFormat/>
    <w:rsid w:val="00F84217"/>
    <w:pPr>
      <w:ind w:left="720"/>
      <w:contextualSpacing/>
    </w:pPr>
  </w:style>
  <w:style w:type="paragraph" w:customStyle="1" w:styleId="a6">
    <w:name w:val="Нормальний текст"/>
    <w:basedOn w:val="a"/>
    <w:uiPriority w:val="99"/>
    <w:rsid w:val="006D0F2A"/>
    <w:pPr>
      <w:spacing w:before="120"/>
      <w:ind w:firstLine="567"/>
      <w:jc w:val="both"/>
    </w:pPr>
    <w:rPr>
      <w:rFonts w:ascii="Antiqua" w:hAnsi="Antiqua" w:cs="Antiqua"/>
      <w:sz w:val="26"/>
      <w:szCs w:val="26"/>
    </w:rPr>
  </w:style>
  <w:style w:type="paragraph" w:customStyle="1" w:styleId="2">
    <w:name w:val="Знак Знак Знак2 Знак"/>
    <w:basedOn w:val="a"/>
    <w:rsid w:val="006F2585"/>
    <w:rPr>
      <w:rFonts w:ascii="Verdana" w:hAnsi="Verdana" w:cs="Verdana"/>
      <w:color w:val="000000"/>
      <w:sz w:val="20"/>
      <w:szCs w:val="20"/>
      <w:lang w:val="en-US" w:eastAsia="en-US"/>
    </w:rPr>
  </w:style>
  <w:style w:type="paragraph" w:styleId="a7">
    <w:name w:val="Balloon Text"/>
    <w:basedOn w:val="a"/>
    <w:link w:val="a8"/>
    <w:uiPriority w:val="99"/>
    <w:semiHidden/>
    <w:unhideWhenUsed/>
    <w:rsid w:val="00740B29"/>
    <w:rPr>
      <w:rFonts w:ascii="Segoe UI" w:hAnsi="Segoe UI" w:cs="Segoe UI"/>
      <w:sz w:val="18"/>
      <w:szCs w:val="18"/>
    </w:rPr>
  </w:style>
  <w:style w:type="character" w:customStyle="1" w:styleId="a8">
    <w:name w:val="Текст у виносці Знак"/>
    <w:basedOn w:val="a0"/>
    <w:link w:val="a7"/>
    <w:uiPriority w:val="99"/>
    <w:semiHidden/>
    <w:rsid w:val="00740B29"/>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098908">
      <w:bodyDiv w:val="1"/>
      <w:marLeft w:val="0"/>
      <w:marRight w:val="0"/>
      <w:marTop w:val="0"/>
      <w:marBottom w:val="0"/>
      <w:divBdr>
        <w:top w:val="none" w:sz="0" w:space="0" w:color="auto"/>
        <w:left w:val="none" w:sz="0" w:space="0" w:color="auto"/>
        <w:bottom w:val="none" w:sz="0" w:space="0" w:color="auto"/>
        <w:right w:val="none" w:sz="0" w:space="0" w:color="auto"/>
      </w:divBdr>
    </w:div>
    <w:div w:id="484131351">
      <w:bodyDiv w:val="1"/>
      <w:marLeft w:val="0"/>
      <w:marRight w:val="0"/>
      <w:marTop w:val="0"/>
      <w:marBottom w:val="0"/>
      <w:divBdr>
        <w:top w:val="none" w:sz="0" w:space="0" w:color="auto"/>
        <w:left w:val="none" w:sz="0" w:space="0" w:color="auto"/>
        <w:bottom w:val="none" w:sz="0" w:space="0" w:color="auto"/>
        <w:right w:val="none" w:sz="0" w:space="0" w:color="auto"/>
      </w:divBdr>
    </w:div>
    <w:div w:id="568031505">
      <w:bodyDiv w:val="1"/>
      <w:marLeft w:val="0"/>
      <w:marRight w:val="0"/>
      <w:marTop w:val="0"/>
      <w:marBottom w:val="0"/>
      <w:divBdr>
        <w:top w:val="none" w:sz="0" w:space="0" w:color="auto"/>
        <w:left w:val="none" w:sz="0" w:space="0" w:color="auto"/>
        <w:bottom w:val="none" w:sz="0" w:space="0" w:color="auto"/>
        <w:right w:val="none" w:sz="0" w:space="0" w:color="auto"/>
      </w:divBdr>
    </w:div>
    <w:div w:id="992566820">
      <w:bodyDiv w:val="1"/>
      <w:marLeft w:val="0"/>
      <w:marRight w:val="0"/>
      <w:marTop w:val="0"/>
      <w:marBottom w:val="0"/>
      <w:divBdr>
        <w:top w:val="none" w:sz="0" w:space="0" w:color="auto"/>
        <w:left w:val="none" w:sz="0" w:space="0" w:color="auto"/>
        <w:bottom w:val="none" w:sz="0" w:space="0" w:color="auto"/>
        <w:right w:val="none" w:sz="0" w:space="0" w:color="auto"/>
      </w:divBdr>
    </w:div>
    <w:div w:id="1701005828">
      <w:bodyDiv w:val="1"/>
      <w:marLeft w:val="0"/>
      <w:marRight w:val="0"/>
      <w:marTop w:val="0"/>
      <w:marBottom w:val="0"/>
      <w:divBdr>
        <w:top w:val="none" w:sz="0" w:space="0" w:color="auto"/>
        <w:left w:val="none" w:sz="0" w:space="0" w:color="auto"/>
        <w:bottom w:val="none" w:sz="0" w:space="0" w:color="auto"/>
        <w:right w:val="none" w:sz="0" w:space="0" w:color="auto"/>
      </w:divBdr>
    </w:div>
    <w:div w:id="2076736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9EB99C-EB3C-4031-962C-B9FC16C6D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3327</Words>
  <Characters>1897</Characters>
  <Application>Microsoft Office Word</Application>
  <DocSecurity>0</DocSecurity>
  <Lines>15</Lines>
  <Paragraphs>10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Лідія Олександрівна Жуковіна</dc:creator>
  <cp:keywords/>
  <dc:description/>
  <cp:lastModifiedBy>Лідія Олександрівна Жуковіна</cp:lastModifiedBy>
  <cp:revision>2</cp:revision>
  <cp:lastPrinted>2016-12-26T09:39:00Z</cp:lastPrinted>
  <dcterms:created xsi:type="dcterms:W3CDTF">2017-01-03T08:51:00Z</dcterms:created>
  <dcterms:modified xsi:type="dcterms:W3CDTF">2017-01-03T08:51:00Z</dcterms:modified>
</cp:coreProperties>
</file>