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2654" w:rsidRPr="00D05344" w:rsidRDefault="00222654" w:rsidP="00222654">
      <w:pPr>
        <w:ind w:left="5670"/>
        <w:jc w:val="center"/>
        <w:rPr>
          <w:sz w:val="20"/>
          <w:szCs w:val="20"/>
        </w:rPr>
      </w:pPr>
      <w:r w:rsidRPr="00D05344">
        <w:rPr>
          <w:sz w:val="20"/>
          <w:szCs w:val="20"/>
        </w:rPr>
        <w:t>До реєстр. № 5294 від 20.10.2016</w:t>
      </w:r>
      <w:r w:rsidRPr="00D05344">
        <w:rPr>
          <w:sz w:val="20"/>
          <w:szCs w:val="20"/>
        </w:rPr>
        <w:br/>
        <w:t>(друге читання)</w:t>
      </w:r>
    </w:p>
    <w:p w:rsidR="00222654" w:rsidRPr="00D05344" w:rsidRDefault="00222654" w:rsidP="00222654">
      <w:pPr>
        <w:ind w:left="5670"/>
        <w:jc w:val="center"/>
        <w:rPr>
          <w:sz w:val="20"/>
          <w:szCs w:val="20"/>
        </w:rPr>
      </w:pPr>
      <w:r w:rsidRPr="00D05344">
        <w:rPr>
          <w:sz w:val="20"/>
          <w:szCs w:val="20"/>
        </w:rPr>
        <w:t>повторно</w:t>
      </w:r>
    </w:p>
    <w:p w:rsidR="00222654" w:rsidRPr="00D05344" w:rsidRDefault="00222654" w:rsidP="00222654">
      <w:pPr>
        <w:ind w:firstLine="709"/>
        <w:jc w:val="center"/>
      </w:pPr>
    </w:p>
    <w:p w:rsidR="00222654" w:rsidRPr="00D05344" w:rsidRDefault="00222654" w:rsidP="00222654">
      <w:pPr>
        <w:ind w:firstLine="709"/>
        <w:jc w:val="center"/>
      </w:pPr>
    </w:p>
    <w:p w:rsidR="00222654" w:rsidRPr="00D05344" w:rsidRDefault="00222654" w:rsidP="00222654">
      <w:pPr>
        <w:ind w:firstLine="709"/>
        <w:jc w:val="center"/>
      </w:pPr>
    </w:p>
    <w:p w:rsidR="00222654" w:rsidRPr="00D05344" w:rsidRDefault="00222654" w:rsidP="00222654">
      <w:pPr>
        <w:ind w:firstLine="709"/>
        <w:jc w:val="center"/>
      </w:pPr>
    </w:p>
    <w:p w:rsidR="00222654" w:rsidRPr="00D05344" w:rsidRDefault="00222654" w:rsidP="00222654">
      <w:pPr>
        <w:ind w:firstLine="709"/>
        <w:jc w:val="center"/>
      </w:pPr>
    </w:p>
    <w:p w:rsidR="00222654" w:rsidRPr="00D05344" w:rsidRDefault="00222654" w:rsidP="00222654">
      <w:pPr>
        <w:ind w:firstLine="709"/>
        <w:jc w:val="center"/>
      </w:pPr>
    </w:p>
    <w:p w:rsidR="00222654" w:rsidRPr="00D05344" w:rsidRDefault="00222654" w:rsidP="00222654">
      <w:pPr>
        <w:ind w:firstLine="709"/>
        <w:jc w:val="center"/>
      </w:pPr>
    </w:p>
    <w:p w:rsidR="00D05344" w:rsidRDefault="00D05344" w:rsidP="00222654">
      <w:pPr>
        <w:ind w:firstLine="709"/>
        <w:jc w:val="center"/>
        <w:rPr>
          <w:b/>
        </w:rPr>
      </w:pPr>
    </w:p>
    <w:p w:rsidR="00222654" w:rsidRPr="00D05344" w:rsidRDefault="00222654" w:rsidP="00222654">
      <w:pPr>
        <w:ind w:firstLine="709"/>
        <w:jc w:val="center"/>
        <w:rPr>
          <w:b/>
        </w:rPr>
      </w:pPr>
      <w:r w:rsidRPr="00D05344">
        <w:rPr>
          <w:b/>
        </w:rPr>
        <w:t>ЗАУВАЖЕННЯ</w:t>
      </w:r>
    </w:p>
    <w:p w:rsidR="00222654" w:rsidRPr="00D05344" w:rsidRDefault="00222654" w:rsidP="00222654">
      <w:pPr>
        <w:pStyle w:val="3"/>
        <w:spacing w:before="0" w:beforeAutospacing="0" w:after="0" w:afterAutospacing="0"/>
        <w:ind w:firstLine="709"/>
        <w:jc w:val="center"/>
        <w:rPr>
          <w:b w:val="0"/>
          <w:color w:val="000000"/>
          <w:sz w:val="28"/>
          <w:szCs w:val="28"/>
        </w:rPr>
      </w:pPr>
      <w:r w:rsidRPr="00D05344">
        <w:rPr>
          <w:b w:val="0"/>
          <w:sz w:val="28"/>
          <w:szCs w:val="28"/>
        </w:rPr>
        <w:t xml:space="preserve">до проекту Закону </w:t>
      </w:r>
      <w:r w:rsidRPr="00D05344">
        <w:rPr>
          <w:b w:val="0"/>
          <w:color w:val="000000"/>
          <w:sz w:val="28"/>
          <w:szCs w:val="28"/>
        </w:rPr>
        <w:t xml:space="preserve">України про запобігання та протидію </w:t>
      </w:r>
    </w:p>
    <w:p w:rsidR="00222654" w:rsidRPr="00D05344" w:rsidRDefault="00222654" w:rsidP="00222654">
      <w:pPr>
        <w:pStyle w:val="3"/>
        <w:spacing w:before="0" w:beforeAutospacing="0" w:after="0" w:afterAutospacing="0"/>
        <w:ind w:firstLine="709"/>
        <w:jc w:val="center"/>
        <w:rPr>
          <w:b w:val="0"/>
          <w:color w:val="000000"/>
          <w:sz w:val="28"/>
          <w:szCs w:val="28"/>
        </w:rPr>
      </w:pPr>
      <w:r w:rsidRPr="00D05344">
        <w:rPr>
          <w:b w:val="0"/>
          <w:color w:val="000000"/>
          <w:sz w:val="28"/>
          <w:szCs w:val="28"/>
        </w:rPr>
        <w:t xml:space="preserve">домашньому насильству </w:t>
      </w:r>
    </w:p>
    <w:p w:rsidR="00222654" w:rsidRPr="00D05344" w:rsidRDefault="00222654" w:rsidP="00222654">
      <w:pPr>
        <w:pStyle w:val="3"/>
        <w:spacing w:before="0" w:beforeAutospacing="0" w:after="0" w:afterAutospacing="0"/>
        <w:ind w:firstLine="709"/>
        <w:jc w:val="center"/>
        <w:rPr>
          <w:b w:val="0"/>
          <w:color w:val="000000"/>
          <w:sz w:val="28"/>
          <w:szCs w:val="28"/>
        </w:rPr>
      </w:pPr>
      <w:r w:rsidRPr="00D05344">
        <w:rPr>
          <w:b w:val="0"/>
          <w:color w:val="000000"/>
          <w:sz w:val="28"/>
          <w:szCs w:val="28"/>
        </w:rPr>
        <w:t>(реєстр. № 5294)</w:t>
      </w:r>
    </w:p>
    <w:p w:rsidR="00222654" w:rsidRPr="00D05344" w:rsidRDefault="00222654" w:rsidP="00222654">
      <w:pPr>
        <w:tabs>
          <w:tab w:val="left" w:pos="993"/>
          <w:tab w:val="left" w:pos="1134"/>
        </w:tabs>
        <w:ind w:firstLine="709"/>
        <w:rPr>
          <w:sz w:val="24"/>
          <w:szCs w:val="24"/>
        </w:rPr>
      </w:pPr>
    </w:p>
    <w:p w:rsidR="00222654" w:rsidRPr="00D05344" w:rsidRDefault="00222654" w:rsidP="008E4641">
      <w:pPr>
        <w:ind w:firstLine="709"/>
      </w:pPr>
      <w:r w:rsidRPr="00D05344">
        <w:t>У Головному юридичному управлінні повторно розглянуто зазначений законопроект, доопрацьований Комітетом з питань сім’ї, молодіжної політики, спорту та туризму до другого читання.</w:t>
      </w:r>
    </w:p>
    <w:p w:rsidR="00222654" w:rsidRPr="00D05344" w:rsidRDefault="00222654" w:rsidP="008E4641">
      <w:pPr>
        <w:ind w:firstLine="709"/>
      </w:pPr>
      <w:r w:rsidRPr="00D05344">
        <w:t>Незважаючи на суттєве доопрацювання законопроекту, окремі зауваження Головного юридичного управління, висловлені до попереднього тексту проекту, залишилися актуальними, на що вважаємо за необхідне ще раз звернути увагу.</w:t>
      </w:r>
    </w:p>
    <w:p w:rsidR="00222654" w:rsidRPr="00D05344" w:rsidRDefault="00222654" w:rsidP="008E4641">
      <w:pPr>
        <w:ind w:firstLine="709"/>
      </w:pPr>
      <w:r w:rsidRPr="00D05344">
        <w:t xml:space="preserve">1. Пунктом 15 статті 1 законопроекту надається визначення терміну «сексуальне насильство», під яким автори розуміють «форму домашнього насильства, що включає </w:t>
      </w:r>
      <w:r w:rsidRPr="00D05344">
        <w:rPr>
          <w:u w:val="single"/>
        </w:rPr>
        <w:t>будь-які</w:t>
      </w:r>
      <w:r w:rsidRPr="00D05344">
        <w:t xml:space="preserve"> діяння сексуального характеру, вчинені стосовно повнолітньої особи без її згоди або стосовно дитини незалежно від її згоди, </w:t>
      </w:r>
      <w:r w:rsidRPr="00D05344">
        <w:rPr>
          <w:u w:val="single"/>
        </w:rPr>
        <w:t>або в присутності дитини</w:t>
      </w:r>
      <w:r w:rsidRPr="00D05344">
        <w:t xml:space="preserve">, примушування до акту сексуального характеру з третьою особою, </w:t>
      </w:r>
      <w:r w:rsidRPr="00D05344">
        <w:rPr>
          <w:u w:val="single"/>
        </w:rPr>
        <w:t>а також інші правопорушення</w:t>
      </w:r>
      <w:r w:rsidRPr="00D05344">
        <w:t xml:space="preserve"> проти статевої свободи чи статевої недоторканості особи, у тому числі вчинені стосовно дитини </w:t>
      </w:r>
      <w:r w:rsidRPr="00D05344">
        <w:rPr>
          <w:u w:val="single"/>
        </w:rPr>
        <w:t>або в її присутності</w:t>
      </w:r>
      <w:r w:rsidRPr="00D05344">
        <w:t>».</w:t>
      </w:r>
    </w:p>
    <w:p w:rsidR="00222654" w:rsidRPr="00D05344" w:rsidRDefault="00222654" w:rsidP="008E4641">
      <w:pPr>
        <w:ind w:firstLine="709"/>
        <w:rPr>
          <w:bCs/>
        </w:rPr>
      </w:pPr>
      <w:r w:rsidRPr="00D05344">
        <w:t xml:space="preserve">Вважаємо, що запропонована </w:t>
      </w:r>
      <w:r w:rsidRPr="00D05344">
        <w:rPr>
          <w:bCs/>
        </w:rPr>
        <w:t>редакція, у разі її ухвалення, невиправдано розширить випадки застосування покарання за таке діяння. Зокрема, у разі якщо дитина не усвідомлювала, що у її присутності вчиняється відповідне діяння, або дитина стала його випадковим свідком, що не охоплювалось умислом винних осіб. На нашу думку, доцільність запровадження такої обставини як вчинення зазначених діянь у присутності дитини потребує додаткового обґрунтування.</w:t>
      </w:r>
    </w:p>
    <w:p w:rsidR="00222654" w:rsidRPr="00D05344" w:rsidRDefault="00222654" w:rsidP="008E4641">
      <w:pPr>
        <w:ind w:firstLine="709"/>
      </w:pPr>
      <w:r w:rsidRPr="00D05344">
        <w:t xml:space="preserve">Пунктом 17 статті 1 законопроекту пропонується визначення терміну «фізичне насильство», під яким розуміється «форма домашнього насильства, що включає ляпаси, стусани, штовхання, щипання, шмагання, кусання, а також незаконне позбавлення волі, нанесення побоїв, мордування, заподіяння тілесних ушкоджень різного ступеня тяжкості, залишення в небезпеці, ненадання допомоги </w:t>
      </w:r>
      <w:r w:rsidRPr="00D05344">
        <w:rPr>
          <w:rStyle w:val="rvts0"/>
          <w:rFonts w:eastAsiaTheme="majorEastAsia"/>
        </w:rPr>
        <w:t>особі, яка перебуває в небезпечному для життя стані</w:t>
      </w:r>
      <w:r w:rsidRPr="00D05344">
        <w:t>, заподіяння смерті, вчинення інших правопорушень насильницького характеру».</w:t>
      </w:r>
    </w:p>
    <w:p w:rsidR="00222654" w:rsidRPr="00D05344" w:rsidRDefault="00222654" w:rsidP="008E4641">
      <w:pPr>
        <w:ind w:firstLine="709"/>
      </w:pPr>
      <w:r w:rsidRPr="00D05344">
        <w:t>Тобто, автори перерахували можливі види фізичного впливу без урахування кримінального законодавства: наявності умислу, тяжкості наслідків. При цьому слід враховувати, що термін «фізичне насильство» відповідно до положень законопроекту є одним із складових поняття «домашнє насильство», за вчинення якого передбачена адміністративна відповідальність (стаття 173</w:t>
      </w:r>
      <w:r w:rsidRPr="00D05344">
        <w:rPr>
          <w:vertAlign w:val="superscript"/>
        </w:rPr>
        <w:t xml:space="preserve">2 </w:t>
      </w:r>
      <w:r w:rsidRPr="00D05344">
        <w:lastRenderedPageBreak/>
        <w:t xml:space="preserve">Кодексу України про адміністративні правопорушення в редакції законопроекту). Відтак, перераховані авторами законопроекту діяння, що визначені кримінальним законодавством як злочини (незаконне позбавлення волі, нанесення побоїв, мордування, заподіяння тілесних ушкоджень різного ступеня тяжкості, залишення в небезпеці, ненадання допомоги </w:t>
      </w:r>
      <w:r w:rsidRPr="00D05344">
        <w:rPr>
          <w:rStyle w:val="rvts0"/>
          <w:rFonts w:eastAsiaTheme="majorEastAsia"/>
        </w:rPr>
        <w:t>особі, яка перебуває в небезпечному для життя стані</w:t>
      </w:r>
      <w:r w:rsidRPr="00D05344">
        <w:t xml:space="preserve">, заподіяння смерті) можуть бути </w:t>
      </w:r>
      <w:proofErr w:type="spellStart"/>
      <w:r w:rsidRPr="00D05344">
        <w:t>декриміналізовані</w:t>
      </w:r>
      <w:proofErr w:type="spellEnd"/>
      <w:r w:rsidRPr="00D05344">
        <w:t xml:space="preserve"> внаслідок штучної колізії законодавчих актів. Зазначене стосується і визначення терміну «сексуальне насильство», яке у своєму складі також містить діяння, визначені кримінальним законодавством як злочини (діяння сексуального характеру, вчинені стосовно повнолітньої особи без її згоди або стосовно дитини незалежно від її згоди тощо).</w:t>
      </w:r>
    </w:p>
    <w:p w:rsidR="00222654" w:rsidRDefault="00222654" w:rsidP="008E4641">
      <w:pPr>
        <w:ind w:firstLine="709"/>
      </w:pPr>
      <w:r w:rsidRPr="00D05344">
        <w:t>Крім того, застосування термінологічних конструкцій «а також інших правопорушень проти статевої свободи чи статевої недоторканості особи» та «вчинення інших правопорушень насильницького характеру» суперечить вимогам пункту 22 статті 92 Конституції України, згідно з яким виключно законами України визначаються</w:t>
      </w:r>
      <w:r w:rsidRPr="00D05344">
        <w:rPr>
          <w:b/>
          <w:bCs/>
        </w:rPr>
        <w:t xml:space="preserve"> </w:t>
      </w:r>
      <w:r w:rsidRPr="00D05344">
        <w:t>діяння, які є злочинами, адміністративними або дисциплінарними правопорушеннями, та відповідальність за них, а також не враховує вимоги частини другої статті 8 Основного Закону України і свідчить про відсутність системного унормування, про неповноту правового регулювання суспільних відносин, що не відповідає визначенню України як правової держави, на чому наголошував Конституційний Суд України (рішення від 22 вересня 2005 року № 5-рп/2005, від 30 вересня 2010 року № 20-рп/2010, від 22 грудня 2010 року № 23-рп/2010).</w:t>
      </w:r>
    </w:p>
    <w:p w:rsidR="008E4641" w:rsidRDefault="00A923F3" w:rsidP="008E4641">
      <w:pPr>
        <w:ind w:firstLine="709"/>
        <w:rPr>
          <w:color w:val="000000"/>
        </w:rPr>
      </w:pPr>
      <w:r w:rsidRPr="00D05344">
        <w:t>2</w:t>
      </w:r>
      <w:r w:rsidR="00222654" w:rsidRPr="00D05344">
        <w:t>. </w:t>
      </w:r>
      <w:r w:rsidR="008E4641">
        <w:t xml:space="preserve">Частиною другою статті 6 проекту фактично передбачено утворення двох центральних органів виконавчої влади: 1) центральний орган виконавчої влади, що забезпечує формування державної політики у сфері запобігання та протидії домашньому насильству; 2) центральний орган виконавчої влади, що реалізує державну політику у сфері запобігання та протидії домашньому насильству. Тоді як згідно з пунктом </w:t>
      </w:r>
      <w:r w:rsidR="008E4641">
        <w:rPr>
          <w:color w:val="000000"/>
        </w:rPr>
        <w:t>9</w:t>
      </w:r>
      <w:r w:rsidR="008E4641">
        <w:rPr>
          <w:b/>
          <w:bCs/>
          <w:color w:val="000000"/>
          <w:vertAlign w:val="superscript"/>
        </w:rPr>
        <w:t>1</w:t>
      </w:r>
      <w:r w:rsidR="008E4641">
        <w:rPr>
          <w:color w:val="000000"/>
        </w:rPr>
        <w:t xml:space="preserve"> статті 116 Конституції України утворення, реорганізація та ліквідація відповідно до закону міністерств та інших центральних органів виконавчої влади, діючи в межах коштів, передбачених на утримання органів виконавчої влади</w:t>
      </w:r>
      <w:r w:rsidR="007C3E38">
        <w:rPr>
          <w:color w:val="000000"/>
        </w:rPr>
        <w:t>,</w:t>
      </w:r>
      <w:r w:rsidR="008E4641">
        <w:rPr>
          <w:color w:val="000000"/>
        </w:rPr>
        <w:t xml:space="preserve"> віднесено до повноважень Кабінету Міністрів України.</w:t>
      </w:r>
    </w:p>
    <w:p w:rsidR="008E4641" w:rsidRDefault="008E4641" w:rsidP="008E4641">
      <w:pPr>
        <w:ind w:firstLine="709"/>
        <w:rPr>
          <w:color w:val="000000"/>
        </w:rPr>
      </w:pPr>
      <w:r w:rsidRPr="008E4641">
        <w:rPr>
          <w:color w:val="000000"/>
        </w:rPr>
        <w:t>3</w:t>
      </w:r>
      <w:r>
        <w:rPr>
          <w:color w:val="000000"/>
        </w:rPr>
        <w:t xml:space="preserve">. Статтею 7 проекту до повноважень центрального органу виконавчої влади, що забезпечує формування державної політики у сфері запобігання та протидії домашньому насильству віднесено </w:t>
      </w:r>
      <w:r>
        <w:rPr>
          <w:color w:val="000000"/>
          <w:u w:val="single"/>
        </w:rPr>
        <w:t>координацію</w:t>
      </w:r>
      <w:r>
        <w:rPr>
          <w:color w:val="000000"/>
        </w:rPr>
        <w:t xml:space="preserve"> діяльності суб’єктів, що здійснюють заходи у сфері запобігання та протидії домашньому насильству. Оскільки відповідно до частини третьої статті 6 проекту такими суб’єктами є також уповноважені підрозділи органів Національної поліції України, суди, прокуратура, зазначене не узгоджується  з положеннями пункту 9 статті 116, частиною першою та другою статті 126, частиною четвертою статті 143 Конституції України та пункту 5 частини першої статті 3 Закону України «Про прокуратуру».</w:t>
      </w:r>
    </w:p>
    <w:p w:rsidR="008E4641" w:rsidRDefault="008E4641" w:rsidP="008E4641">
      <w:pPr>
        <w:ind w:firstLine="709"/>
        <w:rPr>
          <w:color w:val="000000"/>
        </w:rPr>
      </w:pPr>
      <w:r>
        <w:t xml:space="preserve">Пунктом 5 частини першої статті 7 проекту передбачено, що до повноважень Ради міністрів Автономної Республіки Крим, обласних, Київської та Севастопольської міських державних адміністрацій у сфері запобігання та </w:t>
      </w:r>
      <w:r>
        <w:lastRenderedPageBreak/>
        <w:t>протидії домашньому насильству належить забезпечення підготовки фахівців, до компетенції яких належать питання запобігання та протидії домашньому насильству, у тому числі фахівців, які реалізують програми для кривдників. Залишається незрозумілим</w:t>
      </w:r>
      <w:r w:rsidR="007C3E38">
        <w:t>,</w:t>
      </w:r>
      <w:bookmarkStart w:id="0" w:name="_GoBack"/>
      <w:bookmarkEnd w:id="0"/>
      <w:r>
        <w:t xml:space="preserve"> для яких органів чи служб буде здійснюватися така підготовка. Відтак, не дотримано вимогу юридичної визначеності закону як складової принципу верховенства права (стаття 8 Конституції України).</w:t>
      </w:r>
    </w:p>
    <w:p w:rsidR="008E4641" w:rsidRDefault="008E4641" w:rsidP="008E4641">
      <w:pPr>
        <w:ind w:firstLine="709"/>
        <w:rPr>
          <w:rFonts w:eastAsia="Calibri" w:cs="Calibri"/>
        </w:rPr>
      </w:pPr>
      <w:r>
        <w:rPr>
          <w:color w:val="000000"/>
        </w:rPr>
        <w:t xml:space="preserve">Пунктом 6 частини другої статті 7 проекту передбачено, що до повноважень центрального органу виконавчої влади, що реалізує державну політику у сфері запобігання та протидії домашньому насильству, належить </w:t>
      </w:r>
      <w:r>
        <w:rPr>
          <w:u w:val="single"/>
        </w:rPr>
        <w:t>збір, аналіз і поширення відповідно до законодавства</w:t>
      </w:r>
      <w:r>
        <w:t xml:space="preserve"> інформації про домашнє насильство, удосконалення системи показників у формах державної статистичної звітності щодо запобігання та протидії домашньому насильству, а пунктом 6 частини другої статті 8 – до повноважень районних, районних у містах Києві і Севастополі державних адміністрацій та виконавчих органів сільських, селищних, міських, районних у містах (у разі їх створення) рад у сфері запобігання та протидії домашньому насильству належить </w:t>
      </w:r>
      <w:r>
        <w:rPr>
          <w:u w:val="single"/>
        </w:rPr>
        <w:t xml:space="preserve">збір, аналіз і поширення відповідно до законодавства </w:t>
      </w:r>
      <w:r>
        <w:t>інформації про домашнє насильство на території відповідної адміністративно-територіальної одиниці. Проте відповідно до положення частини третьої статті 34 Конституції України здійснення цих прав може бути обмежене законом. Тому слово «законодавства» слід замінити словом «закону».</w:t>
      </w:r>
    </w:p>
    <w:p w:rsidR="008E4641" w:rsidRDefault="008E4641" w:rsidP="008E4641">
      <w:pPr>
        <w:ind w:firstLine="709"/>
        <w:rPr>
          <w:rStyle w:val="st42"/>
          <w:rFonts w:eastAsia="Calibri" w:cs="Calibri"/>
          <w:color w:val="auto"/>
        </w:rPr>
      </w:pPr>
      <w:r>
        <w:rPr>
          <w:color w:val="000000"/>
        </w:rPr>
        <w:t>4. </w:t>
      </w:r>
      <w:r>
        <w:t xml:space="preserve">Частиною другою статті 8 законопроекту визначаються однакові повноваження для районних, районних у містах Києві і Севастополі державних адміністрацій та виконавчих органів сільських, селищних, міських, районних у містах (у разі їх створення) рад у сфері запобігання та протидії домашньому насильству. Тим самим, законопроектом закладено дублювання повноважень органів виконавчої влади та виконавчих органів місцевого самоврядування. </w:t>
      </w:r>
      <w:r>
        <w:rPr>
          <w:rStyle w:val="st42"/>
          <w:rFonts w:cs="Calibri"/>
        </w:rPr>
        <w:t>Такий підхід не відповідає принципу верховенства права (стаття 8 Конституції України) в частині забезпечення вимоги правової визначеності закону.</w:t>
      </w:r>
    </w:p>
    <w:p w:rsidR="008E4641" w:rsidRDefault="008E4641" w:rsidP="008E4641">
      <w:pPr>
        <w:ind w:firstLine="709"/>
      </w:pPr>
      <w:r>
        <w:t xml:space="preserve">Крім того, згідно з пунктом 4 частини другої статті 6 проекту сільські, селищні, міські, районні у містах (у разі їх створення) ради </w:t>
      </w:r>
      <w:r>
        <w:rPr>
          <w:u w:val="single"/>
        </w:rPr>
        <w:t>є спеціально уповноваженими органами</w:t>
      </w:r>
      <w:r>
        <w:t xml:space="preserve"> у сфері запобігання та протидії домашньому насильству, а згідно з частиною другою статті 8 – такими органами є районні, районні у містах Києві і Севастополі державні адміністрації та виконавчі органи сільських, селищних, міських, районних у містах (у разі їх створення) рад. Відтак, такі повноваження виконавчих органів місцевого самоврядування мають визначатися як делеговані повноваження органів виконавчої влади, здійснення яких відповідно до частини третьої статті 143 Конституції та статті 67 Закону України «Про місцеве самоврядування в Україні» держава повинна фінансувати у повному обсязі за рахунок коштів Державного бюджету України або шляхом віднесення до місцевого бюджету у встановленому законом порядку окремих загальнодержавних податків, або шляхом передачі органам місцевого самоврядування відповідних об'єктів державної власності. Однак, згідно зі статтею 32 проекту фінансове забезпечення заходів у сфері запобігання та протидії домашньому насильству, надання допомоги постраждалим особам, а також створення та забезпечення функціонування Єдиного державного реєстру </w:t>
      </w:r>
      <w:r>
        <w:lastRenderedPageBreak/>
        <w:t xml:space="preserve">випадків домашнього насильства та насильства за ознакою статі здійснюється за рахунок коштів державного </w:t>
      </w:r>
      <w:r>
        <w:rPr>
          <w:u w:val="single"/>
        </w:rPr>
        <w:t>та місцевих бюджетів</w:t>
      </w:r>
      <w:r>
        <w:t>, коштів підприємств, установ та організацій, професійних спілок, добровільних внесків юридичних і фізичних осіб, інших джерел, не заборонених законодавством. Відтак стаття 32 має бути узгоджена із статтею 143 Конституції України. Крім того, порядок фінансування органів державної влади, визначений статтею 32 проекту, не узгоджується із статтею 2 Закону України «Про джерела фінансування органів державної влади», згідно з якою органи державної влади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w:t>
      </w:r>
    </w:p>
    <w:p w:rsidR="008E4641" w:rsidRDefault="008E4641" w:rsidP="008E4641">
      <w:pPr>
        <w:ind w:firstLine="709"/>
      </w:pPr>
      <w:r>
        <w:t xml:space="preserve">Пунктом 10 частини першої та пунктом 8 частини другої статті 8 проекту передбачено, що звітування центральному органу виконавчої влади, що реалізує державну політику у сфері запобігання та протидії домашньому насильству, про результати здійснення повноважень у цій сфері здійснюється </w:t>
      </w:r>
      <w:r>
        <w:rPr>
          <w:u w:val="single"/>
        </w:rPr>
        <w:t>у порядку, визначеному центральним органом виконавчої влади</w:t>
      </w:r>
      <w:r>
        <w:t>, що забезпечує формування державної політики у сфері запобігання та протидії домашньому насильству, а частиною третьої цієї статті – що особливості здійснення районними державними адміністраціями та виконавчими органами сільських, селищних, міських (міст районного підпорядкування) рад повноважень, передбачених частиною другою цієї статті, визначаються Кабінетом Міністрів України. Проте це не узгоджується з положенням частини другої статті 19 Конституції України, згідно якої органи державної влади та органи місцевого самоврядування, їх посадові особи зобов'язані діяти лише на підставі, в межах повноважень та у спосіб, що передбачені Конституцією та законами України.</w:t>
      </w:r>
    </w:p>
    <w:p w:rsidR="008E4641" w:rsidRDefault="008E4641" w:rsidP="008E4641">
      <w:pPr>
        <w:ind w:firstLine="709"/>
      </w:pPr>
      <w:r>
        <w:t xml:space="preserve">Те саме стосується і пункту 11 частини другої статті 9, пункту 9 частини першої статті 10, пункту 7 частини першої статті 11, пункту 6 частини другої статті 11, пункту 4 частини першої статті 12, пункту 7 частини другої статті 12, пункту 3 частини першої статті 13, частини першої статті 15 проекту щодо звітування центральному органу виконавчої влади, що реалізує державну політику у сфері запобігання та протидії домашньому насильству, про результати здійснення повноважень у цій сфері </w:t>
      </w:r>
      <w:r>
        <w:rPr>
          <w:u w:val="single"/>
        </w:rPr>
        <w:t xml:space="preserve">у порядку, визначеному центральним органом виконавчої влади, </w:t>
      </w:r>
      <w:r>
        <w:t>що забезпечує формування державної політики у сфері запобігання та протидії домашньому насильству.</w:t>
      </w:r>
    </w:p>
    <w:p w:rsidR="008E4641" w:rsidRDefault="008E4641" w:rsidP="008E4641">
      <w:pPr>
        <w:ind w:firstLine="709"/>
      </w:pPr>
      <w:r>
        <w:t>До того ж таке «звітування» органів місцевого самоврядування перед центральними органами виконавчої влади не узгоджується з частиною четвертою статті 143 Конституції України, згідно якою органи місцевого самоврядування підконтрольні, а не підзвітні центральними органами виконавчої влади з питань здійснення ними повноважень органів виконавчої влади.</w:t>
      </w:r>
    </w:p>
    <w:p w:rsidR="008E4641" w:rsidRDefault="008E4641" w:rsidP="008E4641">
      <w:pPr>
        <w:ind w:firstLine="709"/>
      </w:pPr>
      <w:r>
        <w:t xml:space="preserve">Абзацом другим частини третьої статті 8 передбачено, що </w:t>
      </w:r>
      <w:r>
        <w:br/>
        <w:t>особливості здійснення виконавчими органами районних у місті рад повноважень, передбачених частиною другою цієї статті, визначаються міською радою відповідного міста. Проте, відповідно до положення частини п’ятої статті 140 Конституції України питання організації управління районами в містах належить до компетенції міських рад.</w:t>
      </w:r>
    </w:p>
    <w:p w:rsidR="008E4641" w:rsidRDefault="008E4641" w:rsidP="008E4641">
      <w:pPr>
        <w:ind w:firstLine="709"/>
      </w:pPr>
      <w:r>
        <w:lastRenderedPageBreak/>
        <w:t>Абзац перший частини четвертої статті 8, яким визначено, що структурними підрозділами місцевих державних адміністрацій, до повноважень яких належить здійснення заходів у сфері запобігання та протидії домашньому насильству, є структурні підрозділи з питань сім'ї, не узгоджується з положенням частини третьої статті 118 Конституції України, згідно якого склад місцевих державних адміністрацій формують голови місцевих державних адміністрацій та – з положенням частини третьої статті 5 Закону України «Про місцеві державні адміністрації», згідно якої типове положення про структурні підрозділи місцевої державної адміністрації та рекомендаційний перелік її структурних підрозділів затверджуються Кабінетом Міністрів України.</w:t>
      </w:r>
    </w:p>
    <w:p w:rsidR="00A923F3" w:rsidRPr="00D05344" w:rsidRDefault="008E4641" w:rsidP="008E4641">
      <w:pPr>
        <w:ind w:firstLine="709"/>
      </w:pPr>
      <w:r>
        <w:t>Абзац другий частини четвертої статті 8 яким визначено, що виконавчими органами сільських, селищних, міських, районних у містах (у разі їх створення) рад, до повноважень яких належить здійснення заходів у сфері запобігання та протидії домашньому насильству, є виконавчі органи з питань сім'ї, не узгоджується з положенням статті 26 та статті 51 Закону України «Про місцеве самоврядування в Україні», згідно з якими до виключної компетенції сільських, селищних, міських рад віднесено затвердження за пропозицією сільського, селищного, міського голови структури виконавчих органів ради, загальної чисельності апарату ради та її виконавчих органів відповідно до типових штатів, затверджених Кабінетом Міністрів України, витрат на їх утримання.</w:t>
      </w:r>
    </w:p>
    <w:p w:rsidR="00197E0A" w:rsidRPr="00D05344" w:rsidRDefault="008E4641" w:rsidP="008E4641">
      <w:pPr>
        <w:ind w:firstLine="709"/>
      </w:pPr>
      <w:r>
        <w:t>5.</w:t>
      </w:r>
      <w:r w:rsidR="003B4217">
        <w:t> </w:t>
      </w:r>
      <w:r w:rsidR="00197E0A" w:rsidRPr="00D05344">
        <w:t xml:space="preserve">Законопроектом пропонується </w:t>
      </w:r>
      <w:proofErr w:type="spellStart"/>
      <w:r w:rsidR="00197E0A" w:rsidRPr="00D05344">
        <w:t>внести</w:t>
      </w:r>
      <w:proofErr w:type="spellEnd"/>
      <w:r w:rsidR="00197E0A" w:rsidRPr="00D05344">
        <w:t xml:space="preserve"> зміни до Цивільного процесуального кодексу України (далі-ЦПК України) в редакції Закону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від 3 жовтня 2017 року №2147-VIII, зокрема до статті 128, розділу ІV та статті 430 ЦПК України.</w:t>
      </w:r>
    </w:p>
    <w:p w:rsidR="00197E0A" w:rsidRPr="00D05344" w:rsidRDefault="00197E0A" w:rsidP="008E4641">
      <w:pPr>
        <w:pStyle w:val="a6"/>
        <w:ind w:firstLine="709"/>
        <w:jc w:val="both"/>
        <w:rPr>
          <w:rFonts w:eastAsia="Times New Roman" w:cs="Times New Roman"/>
          <w:u w:val="single"/>
          <w:lang w:val="uk-UA" w:eastAsia="uk-UA"/>
        </w:rPr>
      </w:pPr>
      <w:r w:rsidRPr="00D05344">
        <w:rPr>
          <w:rFonts w:cs="Times New Roman"/>
          <w:lang w:val="uk-UA"/>
        </w:rPr>
        <w:t xml:space="preserve">Насамперед, звертаємо увагу, що Закон України «Про 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 від 3 жовтня 2017 року №2147-VIII набирає чинності з дня початку роботи Верховного Суду, визначеного рішенням його Пленуму відповідно до </w:t>
      </w:r>
      <w:hyperlink r:id="rId6" w:tgtFrame="_blank" w:history="1">
        <w:r w:rsidRPr="00D05344">
          <w:rPr>
            <w:rFonts w:cs="Times New Roman"/>
            <w:lang w:val="uk-UA"/>
          </w:rPr>
          <w:t>Закону України</w:t>
        </w:r>
      </w:hyperlink>
      <w:r w:rsidRPr="00D05344">
        <w:rPr>
          <w:rFonts w:cs="Times New Roman"/>
          <w:lang w:val="uk-UA"/>
        </w:rPr>
        <w:t xml:space="preserve"> </w:t>
      </w:r>
      <w:r w:rsidR="00D05344" w:rsidRPr="00D05344">
        <w:rPr>
          <w:rFonts w:cs="Times New Roman"/>
          <w:lang w:val="uk-UA"/>
        </w:rPr>
        <w:t>«</w:t>
      </w:r>
      <w:r w:rsidRPr="00D05344">
        <w:rPr>
          <w:rFonts w:cs="Times New Roman"/>
          <w:lang w:val="uk-UA"/>
        </w:rPr>
        <w:t>Про судоустрій і статус суддів</w:t>
      </w:r>
      <w:r w:rsidR="00D05344" w:rsidRPr="00D05344">
        <w:rPr>
          <w:rFonts w:cs="Times New Roman"/>
          <w:lang w:val="uk-UA"/>
        </w:rPr>
        <w:t>»</w:t>
      </w:r>
      <w:r w:rsidRPr="00D05344">
        <w:rPr>
          <w:rFonts w:cs="Times New Roman"/>
          <w:lang w:val="uk-UA"/>
        </w:rPr>
        <w:t xml:space="preserve">, опублікованим у газеті </w:t>
      </w:r>
      <w:r w:rsidR="00D05344" w:rsidRPr="00D05344">
        <w:rPr>
          <w:rFonts w:cs="Times New Roman"/>
          <w:lang w:val="uk-UA"/>
        </w:rPr>
        <w:t>«Голос України»</w:t>
      </w:r>
      <w:r w:rsidRPr="00D05344">
        <w:rPr>
          <w:rFonts w:cs="Times New Roman"/>
          <w:lang w:val="uk-UA"/>
        </w:rPr>
        <w:t xml:space="preserve">, крім </w:t>
      </w:r>
      <w:bookmarkStart w:id="1" w:name="n855"/>
      <w:bookmarkEnd w:id="1"/>
      <w:r w:rsidRPr="00D05344">
        <w:rPr>
          <w:rFonts w:eastAsia="Times New Roman" w:cs="Times New Roman"/>
          <w:lang w:val="uk-UA" w:eastAsia="uk-UA"/>
        </w:rPr>
        <w:t xml:space="preserve">змін до </w:t>
      </w:r>
      <w:hyperlink r:id="rId7" w:tgtFrame="_blank" w:history="1">
        <w:r w:rsidRPr="00D05344">
          <w:rPr>
            <w:rFonts w:eastAsia="Times New Roman" w:cs="Times New Roman"/>
            <w:u w:val="single"/>
            <w:lang w:val="uk-UA" w:eastAsia="uk-UA"/>
          </w:rPr>
          <w:t>Закону України</w:t>
        </w:r>
      </w:hyperlink>
      <w:r w:rsidRPr="00D05344">
        <w:rPr>
          <w:rFonts w:eastAsia="Times New Roman" w:cs="Times New Roman"/>
          <w:lang w:val="uk-UA" w:eastAsia="uk-UA"/>
        </w:rPr>
        <w:t xml:space="preserve"> </w:t>
      </w:r>
      <w:r w:rsidR="00D05344" w:rsidRPr="00D05344">
        <w:rPr>
          <w:rFonts w:eastAsia="Times New Roman" w:cs="Times New Roman"/>
          <w:lang w:val="uk-UA" w:eastAsia="uk-UA"/>
        </w:rPr>
        <w:t>«</w:t>
      </w:r>
      <w:r w:rsidRPr="00D05344">
        <w:rPr>
          <w:rFonts w:eastAsia="Times New Roman" w:cs="Times New Roman"/>
          <w:lang w:val="uk-UA" w:eastAsia="uk-UA"/>
        </w:rPr>
        <w:t>Про Вищу раду правосуддя</w:t>
      </w:r>
      <w:r w:rsidR="00D05344" w:rsidRPr="00D05344">
        <w:rPr>
          <w:rFonts w:eastAsia="Times New Roman" w:cs="Times New Roman"/>
          <w:lang w:val="uk-UA" w:eastAsia="uk-UA"/>
        </w:rPr>
        <w:t>»</w:t>
      </w:r>
      <w:r w:rsidRPr="00D05344">
        <w:rPr>
          <w:rFonts w:eastAsia="Times New Roman" w:cs="Times New Roman"/>
          <w:lang w:val="uk-UA" w:eastAsia="uk-UA"/>
        </w:rPr>
        <w:t xml:space="preserve">, передбачених </w:t>
      </w:r>
      <w:hyperlink r:id="rId8" w:anchor="n6" w:history="1">
        <w:r w:rsidRPr="00D05344">
          <w:rPr>
            <w:rFonts w:eastAsia="Times New Roman" w:cs="Times New Roman"/>
            <w:u w:val="single"/>
            <w:lang w:val="uk-UA" w:eastAsia="uk-UA"/>
          </w:rPr>
          <w:t>розділом 4</w:t>
        </w:r>
      </w:hyperlink>
      <w:r w:rsidRPr="00D05344">
        <w:rPr>
          <w:rFonts w:eastAsia="Times New Roman" w:cs="Times New Roman"/>
          <w:lang w:val="uk-UA" w:eastAsia="uk-UA"/>
        </w:rPr>
        <w:t xml:space="preserve"> цього Закону та </w:t>
      </w:r>
      <w:bookmarkStart w:id="2" w:name="n856"/>
      <w:bookmarkEnd w:id="2"/>
      <w:r w:rsidRPr="00D05344">
        <w:rPr>
          <w:rFonts w:eastAsia="Times New Roman" w:cs="Times New Roman"/>
          <w:lang w:val="uk-UA" w:eastAsia="uk-UA"/>
        </w:rPr>
        <w:t xml:space="preserve">змін до </w:t>
      </w:r>
      <w:hyperlink r:id="rId9" w:anchor="n765" w:tgtFrame="_blank" w:history="1">
        <w:r w:rsidRPr="00D05344">
          <w:rPr>
            <w:rFonts w:eastAsia="Times New Roman" w:cs="Times New Roman"/>
            <w:u w:val="single"/>
            <w:lang w:val="uk-UA" w:eastAsia="uk-UA"/>
          </w:rPr>
          <w:t>частини третьої статті 82</w:t>
        </w:r>
      </w:hyperlink>
      <w:r w:rsidRPr="00D05344">
        <w:rPr>
          <w:rFonts w:eastAsia="Times New Roman" w:cs="Times New Roman"/>
          <w:lang w:val="uk-UA" w:eastAsia="uk-UA"/>
        </w:rPr>
        <w:t xml:space="preserve">, </w:t>
      </w:r>
      <w:hyperlink r:id="rId10" w:anchor="n1147" w:tgtFrame="_blank" w:history="1">
        <w:r w:rsidRPr="00D05344">
          <w:rPr>
            <w:rFonts w:eastAsia="Times New Roman" w:cs="Times New Roman"/>
            <w:u w:val="single"/>
            <w:lang w:val="uk-UA" w:eastAsia="uk-UA"/>
          </w:rPr>
          <w:t>пунктів 4</w:t>
        </w:r>
      </w:hyperlink>
      <w:r w:rsidRPr="00D05344">
        <w:rPr>
          <w:rFonts w:eastAsia="Times New Roman" w:cs="Times New Roman"/>
          <w:lang w:val="uk-UA" w:eastAsia="uk-UA"/>
        </w:rPr>
        <w:t xml:space="preserve">, </w:t>
      </w:r>
      <w:hyperlink r:id="rId11" w:anchor="n1149" w:tgtFrame="_blank" w:history="1">
        <w:r w:rsidRPr="00D05344">
          <w:rPr>
            <w:rFonts w:eastAsia="Times New Roman" w:cs="Times New Roman"/>
            <w:u w:val="single"/>
            <w:lang w:val="uk-UA" w:eastAsia="uk-UA"/>
          </w:rPr>
          <w:t>6 частини першої статті 106</w:t>
        </w:r>
      </w:hyperlink>
      <w:r w:rsidRPr="00D05344">
        <w:rPr>
          <w:rFonts w:eastAsia="Times New Roman" w:cs="Times New Roman"/>
          <w:lang w:val="uk-UA" w:eastAsia="uk-UA"/>
        </w:rPr>
        <w:t xml:space="preserve">, </w:t>
      </w:r>
      <w:hyperlink r:id="rId12" w:anchor="n1350" w:tgtFrame="_blank" w:history="1">
        <w:r w:rsidRPr="00D05344">
          <w:rPr>
            <w:rFonts w:eastAsia="Times New Roman" w:cs="Times New Roman"/>
            <w:u w:val="single"/>
            <w:lang w:val="uk-UA" w:eastAsia="uk-UA"/>
          </w:rPr>
          <w:t>статей 133</w:t>
        </w:r>
      </w:hyperlink>
      <w:r w:rsidRPr="00D05344">
        <w:rPr>
          <w:rFonts w:eastAsia="Times New Roman" w:cs="Times New Roman"/>
          <w:lang w:val="uk-UA" w:eastAsia="uk-UA"/>
        </w:rPr>
        <w:t xml:space="preserve">, </w:t>
      </w:r>
      <w:hyperlink r:id="rId13" w:anchor="n1452" w:tgtFrame="_blank" w:history="1">
        <w:r w:rsidRPr="00D05344">
          <w:rPr>
            <w:rFonts w:eastAsia="Times New Roman" w:cs="Times New Roman"/>
            <w:u w:val="single"/>
            <w:lang w:val="uk-UA" w:eastAsia="uk-UA"/>
          </w:rPr>
          <w:t>147</w:t>
        </w:r>
      </w:hyperlink>
      <w:r w:rsidRPr="00D05344">
        <w:rPr>
          <w:rFonts w:eastAsia="Times New Roman" w:cs="Times New Roman"/>
          <w:lang w:val="uk-UA" w:eastAsia="uk-UA"/>
        </w:rPr>
        <w:t xml:space="preserve">, </w:t>
      </w:r>
      <w:hyperlink r:id="rId14" w:anchor="n1495" w:tgtFrame="_blank" w:history="1">
        <w:r w:rsidRPr="00D05344">
          <w:rPr>
            <w:rFonts w:eastAsia="Times New Roman" w:cs="Times New Roman"/>
            <w:u w:val="single"/>
            <w:lang w:val="uk-UA" w:eastAsia="uk-UA"/>
          </w:rPr>
          <w:t>152</w:t>
        </w:r>
      </w:hyperlink>
      <w:r w:rsidRPr="00D05344">
        <w:rPr>
          <w:rFonts w:eastAsia="Times New Roman" w:cs="Times New Roman"/>
          <w:lang w:val="uk-UA" w:eastAsia="uk-UA"/>
        </w:rPr>
        <w:t xml:space="preserve">, </w:t>
      </w:r>
      <w:hyperlink r:id="rId15" w:anchor="n1547" w:tgtFrame="_blank" w:history="1">
        <w:r w:rsidRPr="00D05344">
          <w:rPr>
            <w:rFonts w:eastAsia="Times New Roman" w:cs="Times New Roman"/>
            <w:u w:val="single"/>
            <w:lang w:val="uk-UA" w:eastAsia="uk-UA"/>
          </w:rPr>
          <w:t>155</w:t>
        </w:r>
      </w:hyperlink>
      <w:r w:rsidRPr="00D05344">
        <w:rPr>
          <w:rFonts w:eastAsia="Times New Roman" w:cs="Times New Roman"/>
          <w:lang w:val="uk-UA" w:eastAsia="uk-UA"/>
        </w:rPr>
        <w:t xml:space="preserve">, </w:t>
      </w:r>
      <w:hyperlink r:id="rId16" w:anchor="n1587" w:tgtFrame="_blank" w:history="1">
        <w:r w:rsidRPr="00D05344">
          <w:rPr>
            <w:rFonts w:eastAsia="Times New Roman" w:cs="Times New Roman"/>
            <w:u w:val="single"/>
            <w:lang w:val="uk-UA" w:eastAsia="uk-UA"/>
          </w:rPr>
          <w:t>розділу XII</w:t>
        </w:r>
      </w:hyperlink>
      <w:r w:rsidRPr="00D05344">
        <w:rPr>
          <w:rFonts w:eastAsia="Times New Roman" w:cs="Times New Roman"/>
          <w:lang w:val="uk-UA" w:eastAsia="uk-UA"/>
        </w:rPr>
        <w:t xml:space="preserve"> Закону України </w:t>
      </w:r>
      <w:r w:rsidR="00D05344" w:rsidRPr="00D05344">
        <w:rPr>
          <w:rFonts w:eastAsia="Times New Roman" w:cs="Times New Roman"/>
          <w:lang w:val="uk-UA" w:eastAsia="uk-UA"/>
        </w:rPr>
        <w:t>«</w:t>
      </w:r>
      <w:r w:rsidRPr="00D05344">
        <w:rPr>
          <w:rFonts w:eastAsia="Times New Roman" w:cs="Times New Roman"/>
          <w:lang w:val="uk-UA" w:eastAsia="uk-UA"/>
        </w:rPr>
        <w:t>Про судоустрій і статус суддів</w:t>
      </w:r>
      <w:r w:rsidR="00D05344" w:rsidRPr="00D05344">
        <w:rPr>
          <w:rFonts w:eastAsia="Times New Roman" w:cs="Times New Roman"/>
          <w:lang w:val="uk-UA" w:eastAsia="uk-UA"/>
        </w:rPr>
        <w:t>»</w:t>
      </w:r>
      <w:r w:rsidRPr="00D05344">
        <w:rPr>
          <w:rFonts w:eastAsia="Times New Roman" w:cs="Times New Roman"/>
          <w:lang w:val="uk-UA" w:eastAsia="uk-UA"/>
        </w:rPr>
        <w:t xml:space="preserve">, тобто </w:t>
      </w:r>
      <w:r w:rsidRPr="00D05344">
        <w:rPr>
          <w:rFonts w:eastAsia="Times New Roman" w:cs="Times New Roman"/>
          <w:u w:val="single"/>
          <w:lang w:val="uk-UA" w:eastAsia="uk-UA"/>
        </w:rPr>
        <w:t>з 15 грудня 2017 року.</w:t>
      </w:r>
    </w:p>
    <w:p w:rsidR="00197E0A" w:rsidRPr="00D05344" w:rsidRDefault="00197E0A" w:rsidP="008E4641">
      <w:pPr>
        <w:pStyle w:val="a6"/>
        <w:ind w:firstLine="709"/>
        <w:jc w:val="both"/>
        <w:rPr>
          <w:rFonts w:eastAsia="Times New Roman" w:cs="Times New Roman"/>
          <w:lang w:val="uk-UA" w:eastAsia="uk-UA"/>
        </w:rPr>
      </w:pPr>
      <w:r w:rsidRPr="00D05344">
        <w:rPr>
          <w:rFonts w:eastAsia="Times New Roman" w:cs="Times New Roman"/>
          <w:lang w:val="uk-UA" w:eastAsia="uk-UA"/>
        </w:rPr>
        <w:t>Таким чином, законопроектом вносяться зміни до тексту ЦПК України, який ще не набрав чинності.</w:t>
      </w:r>
    </w:p>
    <w:p w:rsidR="00197E0A" w:rsidRPr="00D05344" w:rsidRDefault="00197E0A" w:rsidP="008E4641">
      <w:pPr>
        <w:pStyle w:val="a6"/>
        <w:ind w:firstLine="709"/>
        <w:jc w:val="both"/>
        <w:rPr>
          <w:rFonts w:eastAsia="Times New Roman" w:cs="Times New Roman"/>
          <w:lang w:val="uk-UA" w:eastAsia="uk-UA"/>
        </w:rPr>
      </w:pPr>
      <w:r w:rsidRPr="00D05344">
        <w:rPr>
          <w:rFonts w:eastAsia="Times New Roman" w:cs="Times New Roman"/>
          <w:lang w:val="uk-UA" w:eastAsia="uk-UA"/>
        </w:rPr>
        <w:t xml:space="preserve">Не містить проект і відповідних «Прикінцевих та перехідних положень», в яких би вирішувалося питання щодо відтермінування набрання чинності змінами до ЦПК України в редакції Закону України </w:t>
      </w:r>
      <w:r w:rsidRPr="00D05344">
        <w:rPr>
          <w:rFonts w:cs="Times New Roman"/>
          <w:lang w:val="uk-UA"/>
        </w:rPr>
        <w:t>від 3 жовтня 2017 року №2147-VIII</w:t>
      </w:r>
      <w:r w:rsidRPr="00D05344">
        <w:rPr>
          <w:rFonts w:eastAsia="Times New Roman" w:cs="Times New Roman"/>
          <w:lang w:val="uk-UA" w:eastAsia="uk-UA"/>
        </w:rPr>
        <w:t>.</w:t>
      </w:r>
    </w:p>
    <w:p w:rsidR="00197E0A" w:rsidRPr="00D05344" w:rsidRDefault="00197E0A" w:rsidP="008E4641">
      <w:pPr>
        <w:pStyle w:val="a6"/>
        <w:ind w:firstLine="709"/>
        <w:jc w:val="both"/>
        <w:rPr>
          <w:rFonts w:eastAsia="Times New Roman" w:cs="Times New Roman"/>
          <w:lang w:val="uk-UA" w:eastAsia="uk-UA"/>
        </w:rPr>
      </w:pPr>
      <w:r w:rsidRPr="00D05344">
        <w:rPr>
          <w:rFonts w:eastAsia="Times New Roman" w:cs="Times New Roman"/>
          <w:lang w:val="uk-UA" w:eastAsia="uk-UA"/>
        </w:rPr>
        <w:t>Зазначене свідчить, що положення законопроекту в частині внесення змін до ЦПК України викладені у спосіб, що не враховує принципу юридичної визначеності, який є складовою принципу верховенства права, передбаченого статтею 8 Конституції України.</w:t>
      </w:r>
    </w:p>
    <w:p w:rsidR="00197E0A" w:rsidRPr="00D05344" w:rsidRDefault="00197E0A" w:rsidP="008E4641">
      <w:pPr>
        <w:ind w:firstLine="709"/>
        <w:rPr>
          <w:rFonts w:eastAsia="Times New Roman"/>
          <w:lang w:eastAsia="uk-UA"/>
        </w:rPr>
      </w:pPr>
      <w:r w:rsidRPr="00D05344">
        <w:rPr>
          <w:rFonts w:eastAsia="Times New Roman"/>
          <w:lang w:eastAsia="uk-UA"/>
        </w:rPr>
        <w:lastRenderedPageBreak/>
        <w:t>Крім того, вважаємо за необхідне зауважити таке.</w:t>
      </w:r>
    </w:p>
    <w:p w:rsidR="00197E0A" w:rsidRPr="00D05344" w:rsidRDefault="00D05344" w:rsidP="008E4641">
      <w:pPr>
        <w:ind w:firstLine="709"/>
        <w:rPr>
          <w:rStyle w:val="rvts0"/>
        </w:rPr>
      </w:pPr>
      <w:r w:rsidRPr="00D05344">
        <w:rPr>
          <w:rFonts w:eastAsia="Times New Roman"/>
          <w:lang w:eastAsia="uk-UA"/>
        </w:rPr>
        <w:t>1) з</w:t>
      </w:r>
      <w:r w:rsidR="00197E0A" w:rsidRPr="00D05344">
        <w:rPr>
          <w:rFonts w:eastAsia="Times New Roman"/>
          <w:lang w:eastAsia="uk-UA"/>
        </w:rPr>
        <w:t xml:space="preserve">апропоновані зміни до ЦПК України викладені з порушенням статті 116 Регламенту Верховної </w:t>
      </w:r>
      <w:r>
        <w:rPr>
          <w:rFonts w:eastAsia="Times New Roman"/>
          <w:lang w:eastAsia="uk-UA"/>
        </w:rPr>
        <w:t>Р</w:t>
      </w:r>
      <w:r w:rsidR="00197E0A" w:rsidRPr="00D05344">
        <w:rPr>
          <w:rFonts w:eastAsia="Times New Roman"/>
          <w:lang w:eastAsia="uk-UA"/>
        </w:rPr>
        <w:t xml:space="preserve">ади України, відповідно до якої </w:t>
      </w:r>
      <w:r w:rsidR="00197E0A" w:rsidRPr="00D05344">
        <w:rPr>
          <w:rStyle w:val="rvts0"/>
        </w:rPr>
        <w:t>пропозиції та поправки до законопроекту, який готується до другого читання, можуть вноситися лише до того тексту законопроекту (статей, їх частин, пунктів, речень), який прийнятий Верховною Радою України за основу. За основу ж приймалися зміни до ЦПК України в редакції 2004 року.</w:t>
      </w:r>
    </w:p>
    <w:p w:rsidR="00197E0A" w:rsidRPr="00D05344" w:rsidRDefault="00197E0A" w:rsidP="008E4641">
      <w:pPr>
        <w:ind w:firstLine="709"/>
        <w:rPr>
          <w:szCs w:val="24"/>
          <w:lang w:eastAsia="ru-RU"/>
        </w:rPr>
      </w:pPr>
      <w:r w:rsidRPr="00D05344">
        <w:t xml:space="preserve">Підтримуємо також зауваження Головного науково-експертного управління щодо змін до </w:t>
      </w:r>
      <w:r w:rsidRPr="00D05344">
        <w:rPr>
          <w:szCs w:val="24"/>
          <w:lang w:eastAsia="ru-RU"/>
        </w:rPr>
        <w:t>Цивільного процесуального України в частині сумнівності доповнення розділу ІV «Окреме провадження» запропонованими проектом змінами, з огляду на те, що видача обмежувального припису не є підтвердженням наявності або відсутності юридичних фактів, що мають значення для охорони прав та законних інтересів особи або створення умов здійснення нею особистих немайнових чи майнових прав або підтвердження наявності чи</w:t>
      </w:r>
      <w:r w:rsidR="00D05344" w:rsidRPr="00D05344">
        <w:rPr>
          <w:szCs w:val="24"/>
          <w:lang w:eastAsia="ru-RU"/>
        </w:rPr>
        <w:t xml:space="preserve"> відсутності неоспорюваних прав;</w:t>
      </w:r>
    </w:p>
    <w:p w:rsidR="00197E0A" w:rsidRPr="00D05344" w:rsidRDefault="00D05344" w:rsidP="008E4641">
      <w:pPr>
        <w:ind w:firstLine="709"/>
        <w:rPr>
          <w:rStyle w:val="rvts0"/>
        </w:rPr>
      </w:pPr>
      <w:r w:rsidRPr="00D05344">
        <w:rPr>
          <w:szCs w:val="24"/>
          <w:lang w:eastAsia="ru-RU"/>
        </w:rPr>
        <w:t>2) п</w:t>
      </w:r>
      <w:r w:rsidR="00197E0A" w:rsidRPr="00D05344">
        <w:rPr>
          <w:szCs w:val="24"/>
          <w:lang w:eastAsia="ru-RU"/>
        </w:rPr>
        <w:t xml:space="preserve">роектом пропонується </w:t>
      </w:r>
      <w:proofErr w:type="spellStart"/>
      <w:r w:rsidR="00197E0A" w:rsidRPr="00D05344">
        <w:rPr>
          <w:szCs w:val="24"/>
          <w:lang w:eastAsia="ru-RU"/>
        </w:rPr>
        <w:t>внести</w:t>
      </w:r>
      <w:proofErr w:type="spellEnd"/>
      <w:r w:rsidR="00197E0A" w:rsidRPr="00D05344">
        <w:rPr>
          <w:szCs w:val="24"/>
          <w:lang w:eastAsia="ru-RU"/>
        </w:rPr>
        <w:t xml:space="preserve"> зміни до статті 128 ЦПК України в редакції Закону України від 3 жовтня 2017 року </w:t>
      </w:r>
      <w:r w:rsidR="00197E0A" w:rsidRPr="00D05344">
        <w:t>№2147-VIII</w:t>
      </w:r>
      <w:r w:rsidR="00197E0A" w:rsidRPr="00D05344">
        <w:rPr>
          <w:szCs w:val="24"/>
          <w:lang w:eastAsia="ru-RU"/>
        </w:rPr>
        <w:t xml:space="preserve">, які полягають в тому, що </w:t>
      </w:r>
      <w:r w:rsidR="00197E0A" w:rsidRPr="00D05344">
        <w:rPr>
          <w:rStyle w:val="rvts0"/>
        </w:rPr>
        <w:t xml:space="preserve">суд викликає або повідомляє свідка, експерта, перекладача, спеціаліста, а у випадках термінової необхідності, передбачених цим Кодексом, </w:t>
      </w:r>
      <w:r w:rsidR="00197E0A" w:rsidRPr="00D05344">
        <w:rPr>
          <w:rStyle w:val="rvts0"/>
          <w:u w:val="single"/>
        </w:rPr>
        <w:t>зокрема у справах про видачу обмежувального припису,</w:t>
      </w:r>
      <w:r w:rsidR="00197E0A" w:rsidRPr="00D05344">
        <w:rPr>
          <w:rStyle w:val="rvts0"/>
        </w:rPr>
        <w:t xml:space="preserve"> - також учасників справи телефонограмою, телеграмою, засобами факсимільного зв’язку, електронною поштою або повідомленням через інші засоби зв’язку (зокрема мобільного), які забезпечують фіксацію повідомлення або виклику. Однак звертаємо увагу, що такі пропозиції не враховують положень глави 13, яка передбачає розгляд справ не лише про видачу обмежувального припису а й про продовження такого припису.</w:t>
      </w:r>
    </w:p>
    <w:p w:rsidR="00197E0A" w:rsidRPr="00D05344" w:rsidRDefault="00197E0A" w:rsidP="008E4641">
      <w:pPr>
        <w:ind w:firstLine="709"/>
        <w:rPr>
          <w:rStyle w:val="rvts0"/>
        </w:rPr>
      </w:pPr>
      <w:r w:rsidRPr="00D05344">
        <w:rPr>
          <w:rStyle w:val="rvts0"/>
        </w:rPr>
        <w:t>Проектом також викладено у новій редакції частину одинадцяту статті 128 ЦПК України, зміст якої буде виглядати таким чином:</w:t>
      </w:r>
    </w:p>
    <w:p w:rsidR="00197E0A" w:rsidRPr="00D05344" w:rsidRDefault="00197E0A" w:rsidP="008E4641">
      <w:pPr>
        <w:ind w:firstLine="709"/>
        <w:rPr>
          <w:color w:val="000000"/>
        </w:rPr>
      </w:pPr>
      <w:r w:rsidRPr="00D05344">
        <w:rPr>
          <w:color w:val="000000"/>
        </w:rPr>
        <w:t xml:space="preserve">«11. Відповідач, третя особа, свідок зареєстроване місце проживання (перебування), місцезнаходження чи місце роботи якого невідоме, а також заінтересована особа </w:t>
      </w:r>
      <w:r w:rsidRPr="00D05344">
        <w:rPr>
          <w:color w:val="000000"/>
          <w:u w:val="single"/>
        </w:rPr>
        <w:t>у справах про видачу обмежувального припису</w:t>
      </w:r>
      <w:r w:rsidRPr="00D05344">
        <w:rPr>
          <w:color w:val="000000"/>
        </w:rPr>
        <w:t xml:space="preserve"> викликаються до суду через оголошення на офіційному веб-сайті судової влади України, яке повинно бути розміщене не пізніше ніж за десять днів, а у разі розгляду справи про видачу обмежувального припису – не пізніше 24 годин до дати відповідного судового засідання. З опублікуванням оголошення про виклик особа вважається повідомленою про дату, час і місце розгляду справи».</w:t>
      </w:r>
    </w:p>
    <w:p w:rsidR="00197E0A" w:rsidRPr="00D05344" w:rsidRDefault="00197E0A" w:rsidP="008E4641">
      <w:pPr>
        <w:ind w:firstLine="709"/>
        <w:rPr>
          <w:color w:val="000000"/>
        </w:rPr>
      </w:pPr>
      <w:r w:rsidRPr="00D05344">
        <w:rPr>
          <w:color w:val="000000"/>
        </w:rPr>
        <w:t xml:space="preserve">У зазначеній редакції знову згадуються лише справи про видачу обмежувального припису, а про справи щодо продовження припису - не йдеться взагалі. За такої ситуації виникатиме певна неузгодженість між статтею 128 та главою 13 розділу ІV ЦПК України в редакції Закону України </w:t>
      </w:r>
      <w:r w:rsidRPr="00D05344">
        <w:t>від 3 жовтня 2017 року №2147-VIII</w:t>
      </w:r>
      <w:r w:rsidR="00D05344" w:rsidRPr="00D05344">
        <w:rPr>
          <w:color w:val="000000"/>
        </w:rPr>
        <w:t>;</w:t>
      </w:r>
    </w:p>
    <w:p w:rsidR="00197E0A" w:rsidRPr="00D05344" w:rsidRDefault="00D05344" w:rsidP="008E4641">
      <w:pPr>
        <w:ind w:firstLine="709"/>
      </w:pPr>
      <w:r w:rsidRPr="00D05344">
        <w:rPr>
          <w:color w:val="000000"/>
        </w:rPr>
        <w:t>3) п</w:t>
      </w:r>
      <w:r w:rsidR="00197E0A" w:rsidRPr="00D05344">
        <w:rPr>
          <w:color w:val="000000"/>
        </w:rPr>
        <w:t xml:space="preserve">роектом пропонується доповнити ЦПК України в редакції Закону України від 3 жовтня 2017 року </w:t>
      </w:r>
      <w:r w:rsidR="00197E0A" w:rsidRPr="00D05344">
        <w:t>№2147-VIII главою 13 «Розгляд судом справ про видачу і продовження обмежувального припису».</w:t>
      </w:r>
    </w:p>
    <w:p w:rsidR="00197E0A" w:rsidRPr="00D05344" w:rsidRDefault="00197E0A" w:rsidP="008E4641">
      <w:pPr>
        <w:ind w:firstLine="709"/>
      </w:pPr>
      <w:r w:rsidRPr="00D05344">
        <w:t xml:space="preserve">Звертаємо увагу, що ЦПК України не оперує натепер таким поняттям, як обмежувальний припис, в чому він полягає, на який строк встановлюється і в </w:t>
      </w:r>
      <w:r w:rsidRPr="00D05344">
        <w:lastRenderedPageBreak/>
        <w:t xml:space="preserve">яких випадках. Визначення цього поняття є лише в проекті Закону України «Про запобігання та протидію домашньому насильству». Однак в ЦПК України в редакції Закону України  </w:t>
      </w:r>
      <w:r w:rsidRPr="00D05344">
        <w:rPr>
          <w:color w:val="000000"/>
        </w:rPr>
        <w:t xml:space="preserve">від 3 жовтня 2017 року </w:t>
      </w:r>
      <w:r w:rsidRPr="00D05344">
        <w:t>№2147-VIII про це не зазначено, що не враховує вимог пункту 14 частини першої статті 92 Конституції України, якими передбачено, що судочинство має визначатися виключно законом, а таким законом в цивільному процесі є Цивільний процесуальний кодекс України.</w:t>
      </w:r>
    </w:p>
    <w:p w:rsidR="00197E0A" w:rsidRPr="00D05344" w:rsidRDefault="00197E0A" w:rsidP="008E4641">
      <w:pPr>
        <w:ind w:firstLine="709"/>
      </w:pPr>
      <w:r w:rsidRPr="00D05344">
        <w:t>У частині другій статті 350</w:t>
      </w:r>
      <w:r w:rsidRPr="00D05344">
        <w:rPr>
          <w:vertAlign w:val="superscript"/>
        </w:rPr>
        <w:t>6</w:t>
      </w:r>
      <w:r w:rsidRPr="00D05344">
        <w:t xml:space="preserve"> ЦПК України (в редакції проекту) передбачено, що обмежувальний припис може бути у вигляді одного чи декількох заходів тимчасового обмеження прав особи, яка вчинила домашнє насильство або насильство за ознакою статті, передбачених законами України «Про запобігання та протидію домашньому насильству» та «Про забезпечення рівних прав та можливостей жінок і чоловіків».</w:t>
      </w:r>
    </w:p>
    <w:p w:rsidR="00197E0A" w:rsidRPr="00D05344" w:rsidRDefault="00197E0A" w:rsidP="008E4641">
      <w:pPr>
        <w:ind w:firstLine="709"/>
      </w:pPr>
      <w:r w:rsidRPr="00D05344">
        <w:t xml:space="preserve">З огляду на вже зазначені вимоги статті 92 Конституції України та вимоги </w:t>
      </w:r>
      <w:proofErr w:type="spellStart"/>
      <w:r w:rsidRPr="00D05344">
        <w:t>нормопроектувальної</w:t>
      </w:r>
      <w:proofErr w:type="spellEnd"/>
      <w:r w:rsidRPr="00D05344">
        <w:t xml:space="preserve"> техніки заходи тимчасового обмеження прав осіб мали </w:t>
      </w:r>
      <w:r w:rsidR="00D05344" w:rsidRPr="00D05344">
        <w:t>б бути виписані і в ЦПК України;</w:t>
      </w:r>
    </w:p>
    <w:p w:rsidR="00D05344" w:rsidRDefault="00D05344" w:rsidP="008E4641">
      <w:pPr>
        <w:ind w:firstLine="709"/>
      </w:pPr>
      <w:r w:rsidRPr="00D05344">
        <w:t>4) с</w:t>
      </w:r>
      <w:r w:rsidR="00197E0A" w:rsidRPr="00D05344">
        <w:t>таттею 350</w:t>
      </w:r>
      <w:r w:rsidR="00197E0A" w:rsidRPr="00D05344">
        <w:rPr>
          <w:vertAlign w:val="superscript"/>
        </w:rPr>
        <w:t>7</w:t>
      </w:r>
      <w:r w:rsidR="00197E0A" w:rsidRPr="00D05344">
        <w:t xml:space="preserve"> ЦПК України (в редакції проекту) передбачено продовження обмежувального припису ще до 6 місяців. Однак в проекті відсутні положення щодо підстав для такого продовження, що свідчить про порушення вимог статті 19 Конституції України, відповідно до якої органи державної влади та їх посадові особи </w:t>
      </w:r>
      <w:r w:rsidRPr="00D05344">
        <w:t>зобов’язані</w:t>
      </w:r>
      <w:r w:rsidR="00197E0A" w:rsidRPr="00D05344">
        <w:t xml:space="preserve"> діяти лише на підставі, в межах повноважень та у спосіб, що передбачені Конституцією та законами України</w:t>
      </w:r>
      <w:r>
        <w:t>;</w:t>
      </w:r>
    </w:p>
    <w:p w:rsidR="00D05344" w:rsidRPr="00001E7B" w:rsidRDefault="00D05344" w:rsidP="008E4641">
      <w:pPr>
        <w:pStyle w:val="Igor"/>
        <w:spacing w:before="0" w:after="0"/>
      </w:pPr>
      <w:r>
        <w:t>5) к</w:t>
      </w:r>
      <w:r w:rsidRPr="00001E7B">
        <w:t>рім того, справи окремого провадження, як вбачається із положень ЦПК України, не містять положень щодо участі у справі відповідача. А у разі застосування судом обмежувальних заходів до особи, яка вчинила протиправні дії, участь такої особи у судовому засіданні є обов’язковою, і вона має бути визнана відповідачем. Судовий процес має бути змагальним і відповідати іншим основним засадам, визначеним статтею 129 Конституції України. В іншому випадку може бути визнано в подальшому порушення статті 6 Конвенції про захист прав людини і основоположних прав.</w:t>
      </w:r>
    </w:p>
    <w:p w:rsidR="00D05344" w:rsidRPr="00954337" w:rsidRDefault="00D05344" w:rsidP="008E4641">
      <w:pPr>
        <w:pStyle w:val="Igor"/>
        <w:spacing w:before="0" w:after="0"/>
      </w:pPr>
      <w:r w:rsidRPr="00954337">
        <w:t>Європейський суд у своїх численних рішеннях визначив чітку правову позицію та неодноразово підкреслював, що втручання у права людини, гарантовані Конвенцією про захист прав людини і основоположних свобод загалом, та окремими статтями зокрема, має відповідати трьом основним критеріям (див., наприклад, серед багатьох інших, рішення у справі “Українська Прес-Група” проти України” № 72713/01 від 29 березня 2005 року, п. 45; “</w:t>
      </w:r>
      <w:proofErr w:type="spellStart"/>
      <w:r w:rsidRPr="00954337">
        <w:t>Вінтман</w:t>
      </w:r>
      <w:proofErr w:type="spellEnd"/>
      <w:r w:rsidRPr="00954337">
        <w:t xml:space="preserve"> проти України” № 28403/05, 23 жовтня 2014 року, </w:t>
      </w:r>
      <w:proofErr w:type="spellStart"/>
      <w:r w:rsidRPr="00954337">
        <w:t>пп</w:t>
      </w:r>
      <w:proofErr w:type="spellEnd"/>
      <w:r w:rsidRPr="00954337">
        <w:t>. 84-104):</w:t>
      </w:r>
    </w:p>
    <w:p w:rsidR="00D05344" w:rsidRPr="00954337" w:rsidRDefault="00D05344" w:rsidP="008E4641">
      <w:pPr>
        <w:pStyle w:val="Igor"/>
        <w:spacing w:before="0" w:after="0"/>
      </w:pPr>
      <w:r w:rsidRPr="00954337">
        <w:t>-</w:t>
      </w:r>
      <w:r w:rsidRPr="00954337">
        <w:tab/>
        <w:t>таке втручання має бути передбачене законом;</w:t>
      </w:r>
    </w:p>
    <w:p w:rsidR="00D05344" w:rsidRPr="00954337" w:rsidRDefault="00D05344" w:rsidP="008E4641">
      <w:pPr>
        <w:pStyle w:val="Igor"/>
        <w:spacing w:before="0" w:after="0"/>
      </w:pPr>
      <w:r w:rsidRPr="00954337">
        <w:t>-</w:t>
      </w:r>
      <w:r w:rsidRPr="00954337">
        <w:tab/>
        <w:t>воно має бути необхідним у демократичному суспільстві з тим, щоб досягнути законних цілей;</w:t>
      </w:r>
    </w:p>
    <w:p w:rsidR="00D05344" w:rsidRPr="00954337" w:rsidRDefault="00D05344" w:rsidP="008E4641">
      <w:pPr>
        <w:pStyle w:val="Igor"/>
        <w:spacing w:before="0" w:after="0"/>
      </w:pPr>
      <w:r w:rsidRPr="00954337">
        <w:t>-</w:t>
      </w:r>
      <w:r w:rsidRPr="00954337">
        <w:tab/>
        <w:t xml:space="preserve">втручання має бути пропорційним таким цілям і необхідним у демократичному суспільстві для їх досягнення. </w:t>
      </w:r>
    </w:p>
    <w:p w:rsidR="00D05344" w:rsidRDefault="00D05344" w:rsidP="008E4641">
      <w:pPr>
        <w:pStyle w:val="Igor"/>
        <w:spacing w:before="0" w:after="0"/>
      </w:pPr>
      <w:r w:rsidRPr="00954337">
        <w:t>Практика Європейського суду свідчить, що невідповідність хоча б одному із зазначених критеріїв є достатньою підставою для визнання порушення відповідного права.</w:t>
      </w:r>
    </w:p>
    <w:p w:rsidR="00D05344" w:rsidRDefault="00D05344" w:rsidP="008E4641">
      <w:pPr>
        <w:pStyle w:val="Igor"/>
        <w:spacing w:before="0" w:after="0"/>
      </w:pPr>
    </w:p>
    <w:p w:rsidR="00222654" w:rsidRPr="00D05344" w:rsidRDefault="008E4641" w:rsidP="008E4641">
      <w:pPr>
        <w:pStyle w:val="Igor"/>
        <w:spacing w:before="0" w:after="0"/>
      </w:pPr>
      <w:r>
        <w:lastRenderedPageBreak/>
        <w:t>6</w:t>
      </w:r>
      <w:r w:rsidR="00222654" w:rsidRPr="00D05344">
        <w:t>. </w:t>
      </w:r>
      <w:r w:rsidR="00222654" w:rsidRPr="00D05344">
        <w:rPr>
          <w:szCs w:val="24"/>
        </w:rPr>
        <w:t xml:space="preserve">До підпункту 5 пункту 3 </w:t>
      </w:r>
      <w:r w:rsidR="00222654" w:rsidRPr="00D05344">
        <w:t>розділу ІХ «Прикінцеві положення» законопроекту щодо внесення змін до Закону України «Про забезпечення рівних прав та можливостей жінок і чоловіків» слід звернути увагу, що запропоновані законопроектом зміни ширші за предмет правового регулювання самого Закону.</w:t>
      </w:r>
    </w:p>
    <w:p w:rsidR="00222654" w:rsidRPr="00D05344" w:rsidRDefault="00222654" w:rsidP="008E4641">
      <w:pPr>
        <w:ind w:firstLine="709"/>
      </w:pPr>
      <w:r w:rsidRPr="00D05344">
        <w:t xml:space="preserve">Так, метою Закону України «Про забезпечення рівних прав та можливостей жінок і чоловіків» </w:t>
      </w:r>
      <w:bookmarkStart w:id="3" w:name="o5"/>
      <w:bookmarkEnd w:id="3"/>
      <w:r w:rsidRPr="00D05344">
        <w:t xml:space="preserve">є досягнення паритетного становища жінок і чоловіків у всіх сферах життєдіяльності суспільства шляхом правового забезпечення рівних прав та можливостей жінок і чоловіків, ліквідації дискримінації за ознакою статі та застосування спеціальних тимчасових заходів, спрямованих на усунення дисбалансу між можливостями жінок і чоловіків реалізовувати рівні права, надані їм Конституцією і законами України. </w:t>
      </w:r>
    </w:p>
    <w:p w:rsidR="00222654" w:rsidRPr="00D05344" w:rsidRDefault="00222654" w:rsidP="008E4641">
      <w:pPr>
        <w:ind w:firstLine="709"/>
      </w:pPr>
      <w:r w:rsidRPr="00D05344">
        <w:t>Проте, законопроектом пропонується понятійний апарат Закону доповнити серед інших такими визначеннями, як «дитина, постраждала від насильства за ознакою статі» та «дитина-кривдник», також встановлюються повноваження служб у справах дітей та органів опіки і піклування. Вважаємо, що такі питання не є предметом регулювання Закону України «Про забезпечення рівних прав та можливостей жінок і чоловіків».</w:t>
      </w:r>
    </w:p>
    <w:p w:rsidR="00222654" w:rsidRPr="00D05344" w:rsidRDefault="00222654" w:rsidP="008E4641">
      <w:pPr>
        <w:ind w:firstLine="709"/>
      </w:pPr>
      <w:r w:rsidRPr="00D05344">
        <w:t>Так само, доповнення вказаного Закону окремим розділом V</w:t>
      </w:r>
      <w:r w:rsidRPr="00D05344">
        <w:rPr>
          <w:vertAlign w:val="superscript"/>
        </w:rPr>
        <w:t>1</w:t>
      </w:r>
      <w:r w:rsidRPr="00D05344">
        <w:t xml:space="preserve"> «Запобігання та протидія насильству за ознакою статі» виходить за межі предмету правового регулювання Закону України «Про забезпечення рівних прав та можливостей жінок і чоловіків».</w:t>
      </w:r>
    </w:p>
    <w:p w:rsidR="00222654" w:rsidRDefault="00222654" w:rsidP="008E4641">
      <w:pPr>
        <w:ind w:firstLine="709"/>
      </w:pPr>
      <w:r w:rsidRPr="00D05344">
        <w:t>Крім того, запропоновані законопроектом зміни до Закону України «Про забезпечення рівних прав та можливостей жінок і чоловіків» внесені із порушенням статті 116 Регламенту Верховної Ради України.</w:t>
      </w:r>
    </w:p>
    <w:p w:rsidR="00222654" w:rsidRPr="00D05344" w:rsidRDefault="008E4641" w:rsidP="008E4641">
      <w:pPr>
        <w:ind w:firstLine="709"/>
      </w:pPr>
      <w:r>
        <w:t>7</w:t>
      </w:r>
      <w:r w:rsidR="00222654" w:rsidRPr="00D05344">
        <w:t>. </w:t>
      </w:r>
      <w:r w:rsidR="00222654" w:rsidRPr="00D05344">
        <w:rPr>
          <w:szCs w:val="24"/>
          <w:lang w:eastAsia="ru-RU"/>
        </w:rPr>
        <w:t>П</w:t>
      </w:r>
      <w:r w:rsidR="00222654" w:rsidRPr="00D05344">
        <w:t>ункти 1 та 4 розділу ІХ «Прикінцеві положення» законопроекту щодо визначення термінів набрання чинності цим Законом (з дня, наступного за днем його опублікування) та доручення Кабінету Міністрів України (у тримісячний строк з дня набрання чинності цим Законом) є юридично некоректним, оскільки реалізація положень закону ставиться у залежність від прийняття в майбутньому підзаконних нормативно-правових актів.</w:t>
      </w:r>
    </w:p>
    <w:p w:rsidR="00222654" w:rsidRPr="00D05344" w:rsidRDefault="008E4641" w:rsidP="008E4641">
      <w:pPr>
        <w:ind w:firstLine="709"/>
      </w:pPr>
      <w:r>
        <w:t>8</w:t>
      </w:r>
      <w:r w:rsidR="00222654" w:rsidRPr="00D05344">
        <w:t>. Звертаємо увагу також на те, що реалізація положень законопроекту також ставиться в залежність від прийняття змін до кримінального законодавства (частина сьома статті 26 та частина десята статті 28 Закону України про запобігання та протидію домашньому насильству, а також частина сьома статті 21</w:t>
      </w:r>
      <w:r w:rsidR="00222654" w:rsidRPr="00D05344">
        <w:rPr>
          <w:vertAlign w:val="superscript"/>
        </w:rPr>
        <w:t>5</w:t>
      </w:r>
      <w:r w:rsidR="00222654" w:rsidRPr="00D05344">
        <w:t xml:space="preserve"> та частина десята статті 21</w:t>
      </w:r>
      <w:r w:rsidR="00222654" w:rsidRPr="00D05344">
        <w:rPr>
          <w:vertAlign w:val="superscript"/>
        </w:rPr>
        <w:t>8</w:t>
      </w:r>
      <w:r w:rsidR="00222654" w:rsidRPr="00D05344">
        <w:t xml:space="preserve"> Закону України «Про забезпечення рівних прав та можливостей жінок і чоловіків» у запропонованій редакції).</w:t>
      </w:r>
    </w:p>
    <w:p w:rsidR="00222654" w:rsidRPr="00D05344" w:rsidRDefault="00222654" w:rsidP="008E4641">
      <w:pPr>
        <w:ind w:firstLine="709"/>
        <w:rPr>
          <w:sz w:val="24"/>
          <w:szCs w:val="24"/>
        </w:rPr>
      </w:pPr>
    </w:p>
    <w:p w:rsidR="00222654" w:rsidRPr="00D05344" w:rsidRDefault="00222654" w:rsidP="008E4641">
      <w:pPr>
        <w:ind w:firstLine="709"/>
      </w:pPr>
      <w:r w:rsidRPr="00D05344">
        <w:rPr>
          <w:b/>
        </w:rPr>
        <w:t>Узагальнюючий висновок:</w:t>
      </w:r>
      <w:r w:rsidRPr="00D05344">
        <w:t xml:space="preserve"> законопроект потребує доопрацювання з урахуванням викладених зауважень.</w:t>
      </w:r>
    </w:p>
    <w:p w:rsidR="00222654" w:rsidRPr="00D05344" w:rsidRDefault="00222654" w:rsidP="008E4641">
      <w:pPr>
        <w:pStyle w:val="StyleZakonu0"/>
        <w:tabs>
          <w:tab w:val="left" w:pos="993"/>
          <w:tab w:val="left" w:pos="1134"/>
        </w:tabs>
        <w:spacing w:after="0" w:line="240" w:lineRule="auto"/>
        <w:ind w:firstLine="709"/>
        <w:rPr>
          <w:sz w:val="24"/>
          <w:szCs w:val="24"/>
        </w:rPr>
      </w:pPr>
    </w:p>
    <w:p w:rsidR="00222654" w:rsidRPr="00D05344" w:rsidRDefault="00222654" w:rsidP="00222654">
      <w:pPr>
        <w:pStyle w:val="StyleZakonu0"/>
        <w:tabs>
          <w:tab w:val="left" w:pos="993"/>
          <w:tab w:val="left" w:pos="1134"/>
        </w:tabs>
        <w:spacing w:after="120" w:line="240" w:lineRule="auto"/>
        <w:rPr>
          <w:sz w:val="24"/>
          <w:szCs w:val="24"/>
        </w:rPr>
      </w:pPr>
    </w:p>
    <w:tbl>
      <w:tblPr>
        <w:tblStyle w:val="a5"/>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848"/>
        <w:gridCol w:w="5722"/>
      </w:tblGrid>
      <w:tr w:rsidR="00222654" w:rsidRPr="00D05344" w:rsidTr="00130C59">
        <w:trPr>
          <w:trHeight w:val="679"/>
        </w:trPr>
        <w:tc>
          <w:tcPr>
            <w:tcW w:w="3848" w:type="dxa"/>
            <w:hideMark/>
          </w:tcPr>
          <w:p w:rsidR="00222654" w:rsidRPr="00D05344" w:rsidRDefault="00222654" w:rsidP="00130C59">
            <w:pPr>
              <w:jc w:val="both"/>
              <w:rPr>
                <w:b/>
                <w:sz w:val="28"/>
                <w:szCs w:val="28"/>
              </w:rPr>
            </w:pPr>
            <w:r w:rsidRPr="00D05344">
              <w:rPr>
                <w:b/>
                <w:sz w:val="28"/>
                <w:szCs w:val="28"/>
              </w:rPr>
              <w:t>Заступник керівника</w:t>
            </w:r>
          </w:p>
          <w:p w:rsidR="00222654" w:rsidRPr="00D05344" w:rsidRDefault="00222654" w:rsidP="00130C59">
            <w:pPr>
              <w:jc w:val="both"/>
              <w:rPr>
                <w:b/>
                <w:sz w:val="28"/>
                <w:szCs w:val="28"/>
              </w:rPr>
            </w:pPr>
            <w:r w:rsidRPr="00D05344">
              <w:rPr>
                <w:b/>
                <w:sz w:val="28"/>
                <w:szCs w:val="28"/>
              </w:rPr>
              <w:t>Головного управління</w:t>
            </w:r>
          </w:p>
        </w:tc>
        <w:tc>
          <w:tcPr>
            <w:tcW w:w="5722" w:type="dxa"/>
          </w:tcPr>
          <w:p w:rsidR="00222654" w:rsidRPr="00D05344" w:rsidRDefault="00222654" w:rsidP="00130C59">
            <w:pPr>
              <w:jc w:val="both"/>
              <w:rPr>
                <w:b/>
                <w:sz w:val="28"/>
                <w:szCs w:val="28"/>
              </w:rPr>
            </w:pPr>
          </w:p>
          <w:p w:rsidR="00222654" w:rsidRPr="00D05344" w:rsidRDefault="00222654" w:rsidP="00130C59">
            <w:pPr>
              <w:jc w:val="right"/>
              <w:rPr>
                <w:b/>
                <w:sz w:val="28"/>
                <w:szCs w:val="28"/>
              </w:rPr>
            </w:pPr>
            <w:r w:rsidRPr="00D05344">
              <w:rPr>
                <w:b/>
                <w:sz w:val="28"/>
                <w:szCs w:val="28"/>
              </w:rPr>
              <w:t>В. МІЛОВАНОВ</w:t>
            </w:r>
          </w:p>
        </w:tc>
      </w:tr>
    </w:tbl>
    <w:p w:rsidR="00222654" w:rsidRPr="00D05344" w:rsidRDefault="00222654" w:rsidP="00222654">
      <w:pPr>
        <w:tabs>
          <w:tab w:val="left" w:pos="993"/>
        </w:tabs>
        <w:spacing w:after="80"/>
        <w:ind w:right="6318"/>
        <w:rPr>
          <w:sz w:val="2"/>
          <w:szCs w:val="2"/>
        </w:rPr>
      </w:pPr>
    </w:p>
    <w:p w:rsidR="003A24EC" w:rsidRPr="00D05344" w:rsidRDefault="000524C2"/>
    <w:sectPr w:rsidR="003A24EC" w:rsidRPr="00D05344" w:rsidSect="00B225E5">
      <w:footerReference w:type="default" r:id="rId17"/>
      <w:pgSz w:w="11906" w:h="16838"/>
      <w:pgMar w:top="850" w:right="850" w:bottom="850" w:left="1417" w:header="709" w:footer="312"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689D" w:rsidRDefault="008E4641">
      <w:r>
        <w:separator/>
      </w:r>
    </w:p>
  </w:endnote>
  <w:endnote w:type="continuationSeparator" w:id="0">
    <w:p w:rsidR="004C689D" w:rsidRDefault="008E4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6182975"/>
      <w:docPartObj>
        <w:docPartGallery w:val="Page Numbers (Bottom of Page)"/>
        <w:docPartUnique/>
      </w:docPartObj>
    </w:sdtPr>
    <w:sdtEndPr/>
    <w:sdtContent>
      <w:p w:rsidR="00395307" w:rsidRDefault="005D49A0">
        <w:pPr>
          <w:pStyle w:val="a3"/>
          <w:jc w:val="right"/>
        </w:pPr>
        <w:r>
          <w:fldChar w:fldCharType="begin"/>
        </w:r>
        <w:r>
          <w:instrText>PAGE   \* MERGEFORMAT</w:instrText>
        </w:r>
        <w:r>
          <w:fldChar w:fldCharType="separate"/>
        </w:r>
        <w:r w:rsidR="007C3E38">
          <w:rPr>
            <w:noProof/>
          </w:rPr>
          <w:t>8</w:t>
        </w:r>
        <w:r>
          <w:fldChar w:fldCharType="end"/>
        </w:r>
      </w:p>
    </w:sdtContent>
  </w:sdt>
  <w:p w:rsidR="00395307" w:rsidRDefault="000524C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689D" w:rsidRDefault="008E4641">
      <w:r>
        <w:separator/>
      </w:r>
    </w:p>
  </w:footnote>
  <w:footnote w:type="continuationSeparator" w:id="0">
    <w:p w:rsidR="004C689D" w:rsidRDefault="008E46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654"/>
    <w:rsid w:val="000329E0"/>
    <w:rsid w:val="00117F3B"/>
    <w:rsid w:val="00173075"/>
    <w:rsid w:val="00197E0A"/>
    <w:rsid w:val="001C4BCF"/>
    <w:rsid w:val="001C64ED"/>
    <w:rsid w:val="00222654"/>
    <w:rsid w:val="00230BA0"/>
    <w:rsid w:val="00276041"/>
    <w:rsid w:val="002C1434"/>
    <w:rsid w:val="00333542"/>
    <w:rsid w:val="00351F29"/>
    <w:rsid w:val="00385AFA"/>
    <w:rsid w:val="003B4217"/>
    <w:rsid w:val="00473306"/>
    <w:rsid w:val="00492ECE"/>
    <w:rsid w:val="004A3971"/>
    <w:rsid w:val="004C689D"/>
    <w:rsid w:val="004F6B84"/>
    <w:rsid w:val="00500062"/>
    <w:rsid w:val="00516D13"/>
    <w:rsid w:val="00585E74"/>
    <w:rsid w:val="005D49A0"/>
    <w:rsid w:val="0078407B"/>
    <w:rsid w:val="007C3E38"/>
    <w:rsid w:val="007F207B"/>
    <w:rsid w:val="0082610D"/>
    <w:rsid w:val="00846A09"/>
    <w:rsid w:val="00897750"/>
    <w:rsid w:val="008B5D95"/>
    <w:rsid w:val="008E4017"/>
    <w:rsid w:val="008E4641"/>
    <w:rsid w:val="009A5C04"/>
    <w:rsid w:val="009B0212"/>
    <w:rsid w:val="009E039C"/>
    <w:rsid w:val="00A00A4F"/>
    <w:rsid w:val="00A923F3"/>
    <w:rsid w:val="00AB1E76"/>
    <w:rsid w:val="00AE2B58"/>
    <w:rsid w:val="00B02B9A"/>
    <w:rsid w:val="00B74BF5"/>
    <w:rsid w:val="00B967C8"/>
    <w:rsid w:val="00C118C2"/>
    <w:rsid w:val="00C21A4B"/>
    <w:rsid w:val="00C25E35"/>
    <w:rsid w:val="00C717F9"/>
    <w:rsid w:val="00C87787"/>
    <w:rsid w:val="00CE1FE5"/>
    <w:rsid w:val="00D05344"/>
    <w:rsid w:val="00D937BF"/>
    <w:rsid w:val="00DB6A7B"/>
    <w:rsid w:val="00DE285B"/>
    <w:rsid w:val="00E7671C"/>
    <w:rsid w:val="00E966A1"/>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CE548"/>
  <w15:chartTrackingRefBased/>
  <w15:docId w15:val="{673A2E15-3F2A-4A9D-AD01-D40DF0BD8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2654"/>
  </w:style>
  <w:style w:type="paragraph" w:styleId="3">
    <w:name w:val="heading 3"/>
    <w:basedOn w:val="a"/>
    <w:link w:val="30"/>
    <w:semiHidden/>
    <w:unhideWhenUsed/>
    <w:qFormat/>
    <w:rsid w:val="00222654"/>
    <w:pPr>
      <w:spacing w:before="100" w:beforeAutospacing="1" w:after="100" w:afterAutospacing="1"/>
      <w:jc w:val="left"/>
      <w:outlineLvl w:val="2"/>
    </w:pPr>
    <w:rPr>
      <w:rFonts w:eastAsia="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semiHidden/>
    <w:rsid w:val="00222654"/>
    <w:rPr>
      <w:rFonts w:eastAsia="Times New Roman"/>
      <w:b/>
      <w:bCs/>
      <w:sz w:val="27"/>
      <w:szCs w:val="27"/>
      <w:lang w:eastAsia="ru-RU"/>
    </w:rPr>
  </w:style>
  <w:style w:type="paragraph" w:customStyle="1" w:styleId="Igor">
    <w:name w:val="Igor"/>
    <w:basedOn w:val="a"/>
    <w:autoRedefine/>
    <w:rsid w:val="00222654"/>
    <w:pPr>
      <w:spacing w:before="120" w:after="120"/>
      <w:ind w:firstLine="709"/>
    </w:pPr>
    <w:rPr>
      <w:rFonts w:eastAsia="Times New Roman"/>
      <w:lang w:eastAsia="ru-RU"/>
    </w:rPr>
  </w:style>
  <w:style w:type="character" w:customStyle="1" w:styleId="StyleZakonu">
    <w:name w:val="StyleZakonu Знак"/>
    <w:link w:val="StyleZakonu0"/>
    <w:locked/>
    <w:rsid w:val="00222654"/>
    <w:rPr>
      <w:rFonts w:eastAsia="Times New Roman"/>
      <w:sz w:val="20"/>
      <w:szCs w:val="20"/>
      <w:lang w:eastAsia="ru-RU"/>
    </w:rPr>
  </w:style>
  <w:style w:type="paragraph" w:customStyle="1" w:styleId="StyleZakonu0">
    <w:name w:val="StyleZakonu"/>
    <w:basedOn w:val="a"/>
    <w:link w:val="StyleZakonu"/>
    <w:rsid w:val="00222654"/>
    <w:pPr>
      <w:spacing w:after="60" w:line="220" w:lineRule="exact"/>
      <w:ind w:firstLine="284"/>
    </w:pPr>
    <w:rPr>
      <w:rFonts w:eastAsia="Times New Roman"/>
      <w:sz w:val="20"/>
      <w:szCs w:val="20"/>
      <w:lang w:eastAsia="ru-RU"/>
    </w:rPr>
  </w:style>
  <w:style w:type="character" w:customStyle="1" w:styleId="rvts0">
    <w:name w:val="rvts0"/>
    <w:basedOn w:val="a0"/>
    <w:rsid w:val="00222654"/>
  </w:style>
  <w:style w:type="character" w:customStyle="1" w:styleId="xfm40655724">
    <w:name w:val="xfm_40655724"/>
    <w:basedOn w:val="a0"/>
    <w:rsid w:val="00222654"/>
    <w:rPr>
      <w:rFonts w:cs="Times New Roman"/>
    </w:rPr>
  </w:style>
  <w:style w:type="paragraph" w:styleId="a3">
    <w:name w:val="footer"/>
    <w:basedOn w:val="a"/>
    <w:link w:val="a4"/>
    <w:uiPriority w:val="99"/>
    <w:unhideWhenUsed/>
    <w:rsid w:val="00222654"/>
    <w:pPr>
      <w:tabs>
        <w:tab w:val="center" w:pos="4819"/>
        <w:tab w:val="right" w:pos="9639"/>
      </w:tabs>
    </w:pPr>
  </w:style>
  <w:style w:type="character" w:customStyle="1" w:styleId="a4">
    <w:name w:val="Нижній колонтитул Знак"/>
    <w:basedOn w:val="a0"/>
    <w:link w:val="a3"/>
    <w:uiPriority w:val="99"/>
    <w:rsid w:val="00222654"/>
  </w:style>
  <w:style w:type="table" w:styleId="a5">
    <w:name w:val="Table Grid"/>
    <w:basedOn w:val="a1"/>
    <w:rsid w:val="00222654"/>
    <w:pPr>
      <w:jc w:val="left"/>
    </w:pPr>
    <w:rPr>
      <w:rFonts w:eastAsia="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197E0A"/>
    <w:pPr>
      <w:jc w:val="left"/>
    </w:pPr>
    <w:rPr>
      <w:rFonts w:cstheme="minorBidi"/>
      <w:szCs w:val="22"/>
      <w:lang w:val="ru-RU"/>
    </w:rPr>
  </w:style>
  <w:style w:type="character" w:customStyle="1" w:styleId="st42">
    <w:name w:val="st42"/>
    <w:uiPriority w:val="99"/>
    <w:rsid w:val="008E4641"/>
    <w:rPr>
      <w:rFonts w:ascii="Times New Roman" w:hAnsi="Times New Roman" w:cs="Times New Roman" w:hint="default"/>
      <w:color w:val="000000"/>
    </w:rPr>
  </w:style>
  <w:style w:type="paragraph" w:styleId="a7">
    <w:name w:val="Balloon Text"/>
    <w:basedOn w:val="a"/>
    <w:link w:val="a8"/>
    <w:uiPriority w:val="99"/>
    <w:semiHidden/>
    <w:unhideWhenUsed/>
    <w:rsid w:val="007F207B"/>
    <w:rPr>
      <w:rFonts w:ascii="Segoe UI" w:hAnsi="Segoe UI" w:cs="Segoe UI"/>
      <w:sz w:val="18"/>
      <w:szCs w:val="18"/>
    </w:rPr>
  </w:style>
  <w:style w:type="character" w:customStyle="1" w:styleId="a8">
    <w:name w:val="Текст у виносці Знак"/>
    <w:basedOn w:val="a0"/>
    <w:link w:val="a7"/>
    <w:uiPriority w:val="99"/>
    <w:semiHidden/>
    <w:rsid w:val="007F20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6607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rada/show/2147%D0%B0-19/paran6" TargetMode="External"/><Relationship Id="rId13" Type="http://schemas.openxmlformats.org/officeDocument/2006/relationships/hyperlink" Target="http://zakon0.rada.gov.ua/rada/show/1402-19/paran1452"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zakon0.rada.gov.ua/rada/show/1798-19" TargetMode="External"/><Relationship Id="rId12" Type="http://schemas.openxmlformats.org/officeDocument/2006/relationships/hyperlink" Target="http://zakon0.rada.gov.ua/rada/show/1402-19/paran1350"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zakon0.rada.gov.ua/rada/show/1402-19/paran1587" TargetMode="External"/><Relationship Id="rId1" Type="http://schemas.openxmlformats.org/officeDocument/2006/relationships/styles" Target="styles.xml"/><Relationship Id="rId6" Type="http://schemas.openxmlformats.org/officeDocument/2006/relationships/hyperlink" Target="http://zakon0.rada.gov.ua/rada/show/1402-19" TargetMode="External"/><Relationship Id="rId11" Type="http://schemas.openxmlformats.org/officeDocument/2006/relationships/hyperlink" Target="http://zakon0.rada.gov.ua/rada/show/1402-19/paran1149" TargetMode="External"/><Relationship Id="rId5" Type="http://schemas.openxmlformats.org/officeDocument/2006/relationships/endnotes" Target="endnotes.xml"/><Relationship Id="rId15" Type="http://schemas.openxmlformats.org/officeDocument/2006/relationships/hyperlink" Target="http://zakon0.rada.gov.ua/rada/show/1402-19/paran1547" TargetMode="External"/><Relationship Id="rId10" Type="http://schemas.openxmlformats.org/officeDocument/2006/relationships/hyperlink" Target="http://zakon0.rada.gov.ua/rada/show/1402-19/paran1147"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zakon0.rada.gov.ua/rada/show/1402-19/paran765" TargetMode="External"/><Relationship Id="rId14" Type="http://schemas.openxmlformats.org/officeDocument/2006/relationships/hyperlink" Target="http://zakon0.rada.gov.ua/rada/show/1402-19/paran1495"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275</TotalTime>
  <Pages>8</Pages>
  <Words>15833</Words>
  <Characters>9025</Characters>
  <Application>Microsoft Office Word</Application>
  <DocSecurity>0</DocSecurity>
  <Lines>75</Lines>
  <Paragraphs>49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10</cp:revision>
  <cp:lastPrinted>2017-12-05T15:53:00Z</cp:lastPrinted>
  <dcterms:created xsi:type="dcterms:W3CDTF">2017-12-04T13:31:00Z</dcterms:created>
  <dcterms:modified xsi:type="dcterms:W3CDTF">2017-12-05T16:06:00Z</dcterms:modified>
</cp:coreProperties>
</file>