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AF" w:rsidRPr="008557AF" w:rsidRDefault="008557AF" w:rsidP="008557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557AF">
        <w:rPr>
          <w:rFonts w:ascii="Times New Roman" w:eastAsia="Times New Roman" w:hAnsi="Times New Roman" w:cs="Times New Roman"/>
          <w:lang w:eastAsia="ru-RU"/>
        </w:rPr>
        <w:t>До реєстр. № 5314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557AF" w:rsidRPr="008557AF" w:rsidRDefault="008557AF" w:rsidP="008557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                                                                                                    30.01.2017 р.</w:t>
      </w:r>
    </w:p>
    <w:p w:rsidR="008557AF" w:rsidRPr="008557AF" w:rsidRDefault="008557AF" w:rsidP="008557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57AF" w:rsidRPr="008557AF" w:rsidRDefault="008557AF" w:rsidP="008557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57AF" w:rsidRPr="008557AF" w:rsidRDefault="008557AF" w:rsidP="008557AF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57A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8557AF" w:rsidRPr="008557AF" w:rsidRDefault="008557AF" w:rsidP="008557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57AF" w:rsidRDefault="008557AF" w:rsidP="008557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57AF" w:rsidRPr="008557AF" w:rsidRDefault="008557AF" w:rsidP="008557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57AF" w:rsidRPr="008557AF" w:rsidRDefault="008557AF" w:rsidP="008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57AF" w:rsidRPr="008557AF" w:rsidRDefault="008557AF" w:rsidP="008557A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557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557AF" w:rsidRPr="008557AF" w:rsidRDefault="008557AF" w:rsidP="008557A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557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8557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557AF" w:rsidRPr="008557AF" w:rsidRDefault="008557AF" w:rsidP="008557A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557AF" w:rsidRPr="008557AF" w:rsidRDefault="008557AF" w:rsidP="008557AF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Закону про внесення змін до деяких законодавчих актів України щодо вдосконалення регулювання відносин у сфері забезпечення безпеки дорожнього руху</w:t>
      </w:r>
    </w:p>
    <w:p w:rsidR="008557AF" w:rsidRPr="008557AF" w:rsidRDefault="008557AF" w:rsidP="008557AF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557AF" w:rsidRDefault="008557AF" w:rsidP="008557A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5314 (доопрацьований)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30.01.2017 р.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557AF" w:rsidRPr="008557AF" w:rsidRDefault="008557AF" w:rsidP="008557A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</w:p>
    <w:p w:rsidR="008557AF" w:rsidRPr="008557AF" w:rsidRDefault="008557AF" w:rsidP="008557AF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</w:t>
      </w:r>
      <w:r w:rsidRPr="008557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народні депутати України   Геращенко А.Ю.</w:t>
      </w:r>
    </w:p>
    <w:p w:rsidR="008557AF" w:rsidRPr="008557AF" w:rsidRDefault="008557AF" w:rsidP="008557AF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557AF" w:rsidRPr="008557AF" w:rsidRDefault="008557AF" w:rsidP="008557AF">
      <w:pPr>
        <w:shd w:val="clear" w:color="auto" w:fill="FFFFFF"/>
        <w:spacing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підготовки і попереднього розгляду – Комітет з питань законодавчого забезпечення правоохоронної діяльності</w:t>
      </w:r>
      <w:r w:rsidRPr="008557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557AF" w:rsidRPr="008557AF" w:rsidRDefault="008557AF" w:rsidP="008557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557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рішення Комітету                         від 5 </w:t>
      </w:r>
      <w:r w:rsidR="003B2396" w:rsidRPr="003B23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 w:rsidRPr="008557AF">
        <w:rPr>
          <w:rFonts w:ascii="Times New Roman" w:eastAsia="Times New Roman" w:hAnsi="Times New Roman" w:cs="Times New Roman"/>
          <w:sz w:val="28"/>
          <w:szCs w:val="24"/>
          <w:lang w:eastAsia="ru-RU"/>
        </w:rPr>
        <w:t>2017 року, протокол № 100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557AF" w:rsidRDefault="008557AF" w:rsidP="008557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57AF" w:rsidRPr="008557AF" w:rsidRDefault="008557AF" w:rsidP="008557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57AF" w:rsidRPr="008557AF" w:rsidRDefault="008557AF" w:rsidP="008557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57AF">
        <w:rPr>
          <w:rFonts w:ascii="Times New Roman" w:hAnsi="Times New Roman" w:cs="Times New Roman"/>
          <w:sz w:val="28"/>
          <w:szCs w:val="28"/>
        </w:rPr>
        <w:t>Однак варто звернути увагу на наступне:</w:t>
      </w:r>
    </w:p>
    <w:p w:rsidR="008557AF" w:rsidRPr="008557AF" w:rsidRDefault="008557AF" w:rsidP="008557AF">
      <w:pPr>
        <w:widowControl w:val="0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закріплюється, що </w:t>
      </w:r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 випадку неможливості встановлення особи,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яка фактично керувала транспортним засобом у момент вчинення адміністративного правопорушення, </w:t>
      </w:r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відповідальність несуть юридичні або фізичні особи, за якими зареєстровано транспортний засіб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(пункт 3 статті 53-1  Кодексу України про адміністративні правопорушення у редакції проекту). </w:t>
      </w:r>
    </w:p>
    <w:p w:rsidR="008557AF" w:rsidRDefault="008557AF" w:rsidP="008557AF">
      <w:pPr>
        <w:widowControl w:val="0"/>
        <w:tabs>
          <w:tab w:val="left" w:pos="993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Невстановлення</w:t>
      </w:r>
      <w:proofErr w:type="spellEnd"/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особи, яка фактично керувала транспортним засобом не означає, що керування відбувалося власником і саме його потрібно притягувати до адміністративної відповідальності.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</w:t>
      </w:r>
      <w:r w:rsidRPr="008557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 Рішенні Конституційного суду України N 23-рп/2010 від 22 грудня 2010 року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визначено, що 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юридична відповідальність особи </w:t>
      </w:r>
      <w:r w:rsidRPr="008557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має  індивідуальний характер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Орган (посадова  особа)   при   розгляді   справи,   зокрема, зобов'язаний    з'ясувати:   чи   було   вчинено   адміністративне правопорушення</w:t>
      </w:r>
      <w:r w:rsidRPr="008557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 чи винна дана особа в його вчиненні,  чи підлягає вона адміністративній відповідальності,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 також інші обставини, що мають  значення  для  правильного   вирішення   справи.</w:t>
      </w:r>
    </w:p>
    <w:p w:rsidR="008557AF" w:rsidRDefault="008557AF" w:rsidP="008557AF">
      <w:pPr>
        <w:widowControl w:val="0"/>
        <w:tabs>
          <w:tab w:val="left" w:pos="993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</w:t>
      </w:r>
    </w:p>
    <w:p w:rsidR="008557AF" w:rsidRPr="008557AF" w:rsidRDefault="008557AF" w:rsidP="008557AF">
      <w:pPr>
        <w:widowControl w:val="0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Кодексом України про адміністративні правопорушення закріплюється порядок зміни суб’єкта відповідальності на особу, яка вчинила правопорушення у сфері забезпечення безпеки дорожнього руху, зафіксоване в автоматичному режимі 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(стаття 279-1 у запропонованій редакції). </w:t>
      </w:r>
    </w:p>
    <w:p w:rsidR="008557AF" w:rsidRPr="008557AF" w:rsidRDefault="008557AF" w:rsidP="008557AF">
      <w:pPr>
        <w:widowControl w:val="0"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Разом з тим, проект не передбачає процесуальної можливості для власника заявити, що порушення скоєно не водієм його автомобіля, а «двійником». Так само, до речі, </w:t>
      </w:r>
      <w:r w:rsidRPr="008557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як не містить норми, що дозволяє звільнити власника від відповідальності, якщо його автомобіль викрали і порушення було вчинене викрадачем. 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Адже і в тому, і в іншому випадку, цілком природно, власник не зможе вказати на особу фактичного порушника, а тим більше - заручитися його згодою про притягнення до відповідальності.</w:t>
      </w:r>
    </w:p>
    <w:p w:rsidR="008557AF" w:rsidRPr="008557AF" w:rsidRDefault="008557AF" w:rsidP="008557AF">
      <w:pPr>
        <w:widowControl w:val="0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</w:t>
      </w:r>
      <w:r w:rsidRPr="008557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частини 7 статті 279-1 Кодексу України про адміністративні правопорушення у редакції проекту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разі повернення листа із повідомленням про вручення з письмовим повідомленням та постановою (заочною постановою), який не </w:t>
      </w:r>
      <w:proofErr w:type="spellStart"/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вручено</w:t>
      </w:r>
      <w:proofErr w:type="spellEnd"/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адресату з незалежних від Національної поліції або оператора поштового зв’язку причин (відсутність особи за встановленою за даними Єдиного державного реєстру адреси місцезнаходження, незнаходження фактичного місця розташування (місцезнаходження) особи </w:t>
      </w: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 з інших причин</w:t>
      </w: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вважається, що письмове повідомлення та постанова (заочна постанова) про накладення адміністративного стягнення за правопорушення у сфері забезпечення безпеки дорожнього руху, зафіксоване в автоматичному режимі, </w:t>
      </w:r>
      <w:proofErr w:type="spellStart"/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вручено</w:t>
      </w:r>
      <w:proofErr w:type="spellEnd"/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особі належним чином.  </w:t>
      </w:r>
    </w:p>
    <w:p w:rsidR="008557AF" w:rsidRPr="008557AF" w:rsidRDefault="008557AF" w:rsidP="008557AF">
      <w:pPr>
        <w:widowControl w:val="0"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 законодавча ініціатива може призвести до масового неповідомлення осіб, які вчинили таке адміністративне правопорушення. Так, існують випадки, коли особа не проживає за своїм місцем реєстрації і фізично не може знати про наявність такого рекомендованого листа. Водночас, у вищезазначеній пропонованій нормі присутнє формулювання </w:t>
      </w:r>
      <w:r w:rsidRPr="008557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“або з інших причин”. </w:t>
      </w: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Таке поняття є оціночним, що може призвести до зловживань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боку</w:t>
      </w: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працівників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855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органів поліції.</w:t>
      </w:r>
    </w:p>
    <w:p w:rsidR="008557AF" w:rsidRDefault="008557AF" w:rsidP="008557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57AF" w:rsidRPr="008557AF" w:rsidRDefault="008557AF" w:rsidP="008557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57AF" w:rsidRPr="008557AF" w:rsidRDefault="008557AF" w:rsidP="008557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57A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557AF" w:rsidRPr="008557AF" w:rsidRDefault="008557AF" w:rsidP="008557AF">
      <w:pPr>
        <w:spacing w:before="120" w:after="720" w:line="240" w:lineRule="auto"/>
        <w:ind w:firstLine="720"/>
        <w:jc w:val="both"/>
      </w:pPr>
      <w:r w:rsidRPr="008557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Є. СОБОЛЄВ    </w:t>
      </w:r>
    </w:p>
    <w:p w:rsidR="001C2D0F" w:rsidRDefault="001C2D0F"/>
    <w:sectPr w:rsidR="001C2D0F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C23" w:rsidRDefault="00687C23">
      <w:pPr>
        <w:spacing w:after="0" w:line="240" w:lineRule="auto"/>
      </w:pPr>
      <w:r>
        <w:separator/>
      </w:r>
    </w:p>
  </w:endnote>
  <w:endnote w:type="continuationSeparator" w:id="0">
    <w:p w:rsidR="00687C23" w:rsidRDefault="0068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C23" w:rsidRDefault="00687C23">
      <w:pPr>
        <w:spacing w:after="0" w:line="240" w:lineRule="auto"/>
      </w:pPr>
      <w:r>
        <w:separator/>
      </w:r>
    </w:p>
  </w:footnote>
  <w:footnote w:type="continuationSeparator" w:id="0">
    <w:p w:rsidR="00687C23" w:rsidRDefault="00687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64" w:rsidRPr="00092792" w:rsidRDefault="00547174" w:rsidP="00347E64">
    <w:pPr>
      <w:tabs>
        <w:tab w:val="center" w:pos="4677"/>
        <w:tab w:val="right" w:pos="9355"/>
      </w:tabs>
      <w:spacing w:after="0" w:line="240" w:lineRule="auto"/>
      <w:jc w:val="both"/>
      <w:rPr>
        <w:rFonts w:ascii="Times New Roman" w:eastAsia="Calibri" w:hAnsi="Times New Roman" w:cs="Times New Roman"/>
      </w:rPr>
    </w:pPr>
    <w:r>
      <w:rPr>
        <w:rFonts w:ascii="Times New Roman" w:eastAsia="Times New Roman" w:hAnsi="Times New Roman"/>
        <w:sz w:val="24"/>
        <w:szCs w:val="24"/>
        <w:lang w:eastAsia="ru-RU"/>
      </w:rPr>
      <w:tab/>
    </w:r>
    <w:r>
      <w:rPr>
        <w:rFonts w:ascii="Times New Roman" w:eastAsia="Times New Roman" w:hAnsi="Times New Roman"/>
        <w:sz w:val="24"/>
        <w:szCs w:val="24"/>
        <w:lang w:eastAsia="ru-RU"/>
      </w:rPr>
      <w:tab/>
    </w:r>
    <w:r w:rsidRPr="00092792">
      <w:rPr>
        <w:rFonts w:ascii="Times New Roman" w:eastAsia="Times New Roman" w:hAnsi="Times New Roman" w:cs="Times New Roman"/>
        <w:sz w:val="28"/>
        <w:szCs w:val="28"/>
        <w:lang w:eastAsia="ru-RU"/>
      </w:rPr>
      <w:t xml:space="preserve">         </w:t>
    </w:r>
    <w:r>
      <w:rPr>
        <w:rFonts w:ascii="Times New Roman" w:eastAsia="Times New Roman" w:hAnsi="Times New Roman" w:cs="Times New Roman"/>
        <w:sz w:val="28"/>
        <w:szCs w:val="28"/>
        <w:lang w:eastAsia="ru-RU"/>
      </w:rPr>
      <w:tab/>
    </w:r>
    <w:r>
      <w:rPr>
        <w:rFonts w:ascii="Times New Roman" w:eastAsia="Times New Roman" w:hAnsi="Times New Roman" w:cs="Times New Roman"/>
        <w:sz w:val="28"/>
        <w:szCs w:val="28"/>
        <w:lang w:eastAsia="ru-RU"/>
      </w:rPr>
      <w:tab/>
    </w:r>
  </w:p>
  <w:p w:rsidR="0026281A" w:rsidRPr="0026281A" w:rsidRDefault="00687C23" w:rsidP="00347E64">
    <w:pPr>
      <w:pStyle w:val="a3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0044B"/>
    <w:multiLevelType w:val="hybridMultilevel"/>
    <w:tmpl w:val="BDEA5E40"/>
    <w:lvl w:ilvl="0" w:tplc="317CC8B8">
      <w:start w:val="1"/>
      <w:numFmt w:val="decimal"/>
      <w:lvlText w:val="%1."/>
      <w:lvlJc w:val="left"/>
      <w:pPr>
        <w:ind w:left="200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7AF"/>
    <w:rsid w:val="001C2D0F"/>
    <w:rsid w:val="003B2396"/>
    <w:rsid w:val="00547174"/>
    <w:rsid w:val="00687C23"/>
    <w:rsid w:val="008557AF"/>
    <w:rsid w:val="00E3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8C1E5-84C4-4C50-9E72-424689D2C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57A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8557AF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55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55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2588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2017-04-07T12:20:00Z</cp:lastPrinted>
  <dcterms:created xsi:type="dcterms:W3CDTF">2017-04-07T12:07:00Z</dcterms:created>
  <dcterms:modified xsi:type="dcterms:W3CDTF">2017-04-10T06:15:00Z</dcterms:modified>
</cp:coreProperties>
</file>