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A1E" w:rsidRDefault="001A1A1E" w:rsidP="001A1A1E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</w:t>
      </w:r>
    </w:p>
    <w:p w:rsidR="001A1A1E" w:rsidRDefault="001A1A1E" w:rsidP="001A1A1E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1A1A1E" w:rsidRDefault="001A1A1E" w:rsidP="001A1A1E">
      <w:pPr>
        <w:tabs>
          <w:tab w:val="left" w:pos="900"/>
        </w:tabs>
        <w:ind w:firstLine="709"/>
        <w:jc w:val="both"/>
        <w:rPr>
          <w:sz w:val="28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1A1A1E" w:rsidRDefault="001A1A1E" w:rsidP="001A1A1E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245127" w:rsidRDefault="00245127" w:rsidP="001A1A1E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900"/>
          <w:tab w:val="left" w:pos="7248"/>
        </w:tabs>
        <w:ind w:right="-23"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900"/>
          <w:tab w:val="left" w:pos="7248"/>
        </w:tabs>
        <w:ind w:right="-23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 РАДА  УКРАЇНИ</w:t>
      </w:r>
    </w:p>
    <w:p w:rsidR="001A1A1E" w:rsidRDefault="001A1A1E" w:rsidP="001A1A1E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1A1A1E" w:rsidRPr="00393302" w:rsidRDefault="001A1A1E" w:rsidP="001A1A1E">
      <w:pPr>
        <w:tabs>
          <w:tab w:val="left" w:pos="900"/>
        </w:tabs>
        <w:ind w:firstLine="709"/>
        <w:jc w:val="both"/>
        <w:rPr>
          <w:rFonts w:eastAsia="Times New Roman"/>
          <w:kern w:val="28"/>
          <w:sz w:val="28"/>
        </w:rPr>
      </w:pPr>
    </w:p>
    <w:p w:rsidR="000C4E70" w:rsidRPr="0008582F" w:rsidRDefault="001A1A1E" w:rsidP="000C4E70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</w:pPr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За дорученням Голови Верховної Ради України </w:t>
      </w:r>
      <w:proofErr w:type="spellStart"/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А.Парубія</w:t>
      </w:r>
      <w:proofErr w:type="spellEnd"/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Комітет з питань державного будівництва, регіональної політики та місцевого самоврядування розглянув на своєму засіданні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12 квітня 2017 року</w:t>
      </w:r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(протокол засідання № 6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9</w:t>
      </w:r>
      <w:r w:rsidRPr="00774A31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проект Закону України </w:t>
      </w:r>
      <w:r w:rsidR="000C4E70" w:rsidRPr="00F21785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 внесення змін до Закону України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«</w:t>
      </w:r>
      <w:r w:rsidR="000C4E70" w:rsidRPr="00F21785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Про місцеве самоврядування в Україні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»</w:t>
      </w:r>
      <w:r w:rsidR="000C4E70" w:rsidRPr="00F21785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щодо звітування сільського, селищного, міського голови перед відповідною територіальною громадою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(реєстр. №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5340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від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02.11.2016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р.), поданий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народним депутатом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України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Ю.Бубликом</w:t>
      </w:r>
      <w:proofErr w:type="spellEnd"/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.</w:t>
      </w:r>
    </w:p>
    <w:p w:rsidR="000C4E70" w:rsidRPr="006805DC" w:rsidRDefault="000C4E70" w:rsidP="000C4E70">
      <w:pPr>
        <w:pStyle w:val="HTML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6805DC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За визначенням суб’єкта права законодавчої ініціативи,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законо</w:t>
      </w:r>
      <w:r w:rsidRPr="006805DC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проект направлений на встановлення чіткої регламентації звітування сільських, селищних, міських голів, що дозволить уникнути вільного трактування положень законодавства та труднощів, пов’язаних із визначенням форм та порядку його здійснення.</w:t>
      </w:r>
    </w:p>
    <w:p w:rsidR="000C4E70" w:rsidRPr="00142691" w:rsidRDefault="000C4E70" w:rsidP="000C4E70">
      <w:pPr>
        <w:ind w:firstLine="709"/>
        <w:jc w:val="both"/>
        <w:rPr>
          <w:color w:val="000000"/>
          <w:spacing w:val="-5"/>
          <w:sz w:val="28"/>
          <w:szCs w:val="28"/>
        </w:rPr>
      </w:pPr>
      <w:r w:rsidRPr="00142691">
        <w:rPr>
          <w:color w:val="000000"/>
          <w:spacing w:val="-5"/>
          <w:sz w:val="28"/>
          <w:szCs w:val="28"/>
        </w:rPr>
        <w:t xml:space="preserve">Законопроектом пропонується </w:t>
      </w:r>
      <w:proofErr w:type="spellStart"/>
      <w:r w:rsidRPr="00142691">
        <w:rPr>
          <w:color w:val="000000"/>
          <w:spacing w:val="-5"/>
          <w:sz w:val="28"/>
          <w:szCs w:val="28"/>
        </w:rPr>
        <w:t>внести</w:t>
      </w:r>
      <w:proofErr w:type="spellEnd"/>
      <w:r w:rsidRPr="00142691">
        <w:rPr>
          <w:color w:val="000000"/>
          <w:spacing w:val="-5"/>
          <w:sz w:val="28"/>
          <w:szCs w:val="28"/>
        </w:rPr>
        <w:t xml:space="preserve"> зміни до статей 42 та 75 Закону України «Про місцеве самоврядування в Україні», додавши нові частини, які передбачають необхідність під час визначення процедури організації й проведення звітування врахувати такі моменти як:</w:t>
      </w:r>
      <w:r>
        <w:rPr>
          <w:color w:val="000000"/>
          <w:spacing w:val="-5"/>
          <w:sz w:val="28"/>
          <w:szCs w:val="28"/>
        </w:rPr>
        <w:t xml:space="preserve"> </w:t>
      </w:r>
      <w:r w:rsidRPr="00142691">
        <w:rPr>
          <w:color w:val="000000"/>
          <w:spacing w:val="-5"/>
          <w:sz w:val="28"/>
          <w:szCs w:val="28"/>
        </w:rPr>
        <w:t>чіткість дотримання вимог до змісту такого документа як звіт</w:t>
      </w:r>
      <w:r>
        <w:rPr>
          <w:color w:val="000000"/>
          <w:spacing w:val="-5"/>
          <w:sz w:val="28"/>
          <w:szCs w:val="28"/>
        </w:rPr>
        <w:t xml:space="preserve">; </w:t>
      </w:r>
      <w:r w:rsidRPr="00142691">
        <w:rPr>
          <w:color w:val="000000"/>
          <w:spacing w:val="-5"/>
          <w:sz w:val="28"/>
          <w:szCs w:val="28"/>
        </w:rPr>
        <w:t>обов’язковість дотримання вимог інформування громадян про час, місце проведення звітування, фіксація проведення зустрічі та висвітлення матеріалів звіту в засобах масової інформації, на веб-сайті відповідної ради;</w:t>
      </w:r>
      <w:r>
        <w:rPr>
          <w:color w:val="000000"/>
          <w:spacing w:val="-5"/>
          <w:sz w:val="28"/>
          <w:szCs w:val="28"/>
        </w:rPr>
        <w:t xml:space="preserve"> </w:t>
      </w:r>
      <w:r w:rsidRPr="00142691">
        <w:rPr>
          <w:color w:val="000000"/>
          <w:spacing w:val="-5"/>
          <w:sz w:val="28"/>
          <w:szCs w:val="28"/>
        </w:rPr>
        <w:t xml:space="preserve">відкритість зустрічі з громадянами, що, серед іншого, передбачає можливість громадян </w:t>
      </w:r>
      <w:proofErr w:type="spellStart"/>
      <w:r w:rsidRPr="00142691">
        <w:rPr>
          <w:color w:val="000000"/>
          <w:spacing w:val="-5"/>
          <w:sz w:val="28"/>
          <w:szCs w:val="28"/>
        </w:rPr>
        <w:t>внести</w:t>
      </w:r>
      <w:proofErr w:type="spellEnd"/>
      <w:r w:rsidRPr="00142691">
        <w:rPr>
          <w:color w:val="000000"/>
          <w:spacing w:val="-5"/>
          <w:sz w:val="28"/>
          <w:szCs w:val="28"/>
        </w:rPr>
        <w:t xml:space="preserve"> пропозиції, висловити ставлення до діяльності сільських, селищних, міських </w:t>
      </w:r>
      <w:r w:rsidR="002F2822" w:rsidRPr="00142691">
        <w:rPr>
          <w:color w:val="000000"/>
          <w:spacing w:val="-5"/>
          <w:sz w:val="28"/>
          <w:szCs w:val="28"/>
        </w:rPr>
        <w:t>голів</w:t>
      </w:r>
      <w:r w:rsidRPr="00142691">
        <w:rPr>
          <w:color w:val="000000"/>
          <w:spacing w:val="-5"/>
          <w:sz w:val="28"/>
          <w:szCs w:val="28"/>
        </w:rPr>
        <w:t>.</w:t>
      </w:r>
      <w:r w:rsidR="0006241C">
        <w:rPr>
          <w:color w:val="000000"/>
          <w:spacing w:val="-5"/>
          <w:sz w:val="28"/>
          <w:szCs w:val="28"/>
        </w:rPr>
        <w:t xml:space="preserve"> </w:t>
      </w:r>
      <w:r w:rsidR="0006241C" w:rsidRPr="0006241C">
        <w:rPr>
          <w:color w:val="000000"/>
          <w:spacing w:val="-5"/>
          <w:sz w:val="28"/>
          <w:szCs w:val="28"/>
        </w:rPr>
        <w:t xml:space="preserve">Також, з метою подолання формальності підходу до здійснення такого звітування </w:t>
      </w:r>
      <w:proofErr w:type="spellStart"/>
      <w:r w:rsidR="0006241C" w:rsidRPr="0006241C">
        <w:rPr>
          <w:color w:val="000000"/>
          <w:spacing w:val="-5"/>
          <w:sz w:val="28"/>
          <w:szCs w:val="28"/>
        </w:rPr>
        <w:t>внесено</w:t>
      </w:r>
      <w:proofErr w:type="spellEnd"/>
      <w:r w:rsidR="0006241C" w:rsidRPr="0006241C">
        <w:rPr>
          <w:color w:val="000000"/>
          <w:spacing w:val="-5"/>
          <w:sz w:val="28"/>
          <w:szCs w:val="28"/>
        </w:rPr>
        <w:t xml:space="preserve"> положення, яке передбачає необхідність визначення процедури підготовки та проведення звітів у статутах територіальних громад.</w:t>
      </w:r>
    </w:p>
    <w:p w:rsidR="000C4E70" w:rsidRDefault="000C4E70" w:rsidP="000C4E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Комітет з питань запобігання і протидії корупції у висновку від 12.12.2016 р. № 04-19/17-4135 вважає, що у проекті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 не виявлено </w:t>
      </w:r>
      <w:proofErr w:type="spellStart"/>
      <w:r>
        <w:rPr>
          <w:sz w:val="28"/>
          <w:szCs w:val="28"/>
        </w:rPr>
        <w:t>корупціогенних</w:t>
      </w:r>
      <w:proofErr w:type="spellEnd"/>
      <w:r>
        <w:rPr>
          <w:sz w:val="28"/>
          <w:szCs w:val="28"/>
        </w:rPr>
        <w:t xml:space="preserve"> факторів – проект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 відповідає вимогам антикорупційного законодавства.</w:t>
      </w:r>
      <w:r w:rsidRPr="00015EE8">
        <w:rPr>
          <w:sz w:val="28"/>
          <w:szCs w:val="28"/>
        </w:rPr>
        <w:t xml:space="preserve"> </w:t>
      </w:r>
    </w:p>
    <w:p w:rsidR="000C4E70" w:rsidRDefault="000C4E70" w:rsidP="000C4E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Комітет з питань бюджету у висновку від 13.02.2017 р. № 04-13/8-228 звертає увагу, що законопроект не матиме прямого впливу на показники бюджетів, оскільки відповідні заходи будуть забезпечуватися в межах видатків, передбачених у рішенні про місцевий бюджет на відповідний рік.</w:t>
      </w:r>
    </w:p>
    <w:p w:rsidR="000C4E70" w:rsidRDefault="000C4E70" w:rsidP="000C4E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Всеукраїнська асоціація органів місцевого самоврядування «Асоціація міст України» у висновку від 28.11.2016 р. № 5-638 зазначає, що формулювання чинної редакції частини сьомої статті 42 Закону України «Про місцеве самоврядування в Україні» є цілком достатнім для відповідної деталізації процесу звітування сільських, селищних, міських голів у статутах територіальних громад, що врахувало б місцеві особливості та сприяло б належній значимості статутів.</w:t>
      </w:r>
    </w:p>
    <w:p w:rsidR="000C4E70" w:rsidRPr="007A47DA" w:rsidRDefault="000C4E70" w:rsidP="000C4E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Головне науково-експертне управління Апарату Верховної Ради України у висновку від 30.01</w:t>
      </w:r>
      <w:r w:rsidR="00C27930">
        <w:rPr>
          <w:sz w:val="28"/>
          <w:szCs w:val="28"/>
        </w:rPr>
        <w:t>.</w:t>
      </w:r>
      <w:bookmarkStart w:id="0" w:name="_GoBack"/>
      <w:bookmarkEnd w:id="0"/>
      <w:r>
        <w:rPr>
          <w:sz w:val="28"/>
          <w:szCs w:val="28"/>
        </w:rPr>
        <w:t>2017 р. № 16/3-63/5340 не підтримує прийняття вказаного законопроекту та висловлює щодо нього низку зауважень. Так, Управління звертає увагу, що з</w:t>
      </w:r>
      <w:r w:rsidRPr="009E4410">
        <w:rPr>
          <w:sz w:val="28"/>
          <w:szCs w:val="28"/>
        </w:rPr>
        <w:t xml:space="preserve">апропонована у проекті ідея докладного регулювання питань </w:t>
      </w:r>
      <w:r>
        <w:rPr>
          <w:sz w:val="28"/>
          <w:szCs w:val="28"/>
        </w:rPr>
        <w:t xml:space="preserve">звіту сільських, селищних, міських голів перед територіальною громадою </w:t>
      </w:r>
      <w:r w:rsidRPr="009E4410">
        <w:rPr>
          <w:sz w:val="28"/>
          <w:szCs w:val="28"/>
        </w:rPr>
        <w:t>на рівні закону може розцінюватись як зворотній від децентралізації влади шлях, певний відступ від принципу правової та організаційної самостійності місцевого самоврядування, закріпленого у ст</w:t>
      </w:r>
      <w:r>
        <w:rPr>
          <w:sz w:val="28"/>
          <w:szCs w:val="28"/>
        </w:rPr>
        <w:t>атті</w:t>
      </w:r>
      <w:r w:rsidRPr="009E4410">
        <w:rPr>
          <w:sz w:val="28"/>
          <w:szCs w:val="28"/>
        </w:rPr>
        <w:t xml:space="preserve"> 4 Закону</w:t>
      </w:r>
      <w:r>
        <w:rPr>
          <w:sz w:val="28"/>
          <w:szCs w:val="28"/>
        </w:rPr>
        <w:t xml:space="preserve"> України «Про місцеве самоврядування в Україні»</w:t>
      </w:r>
      <w:r w:rsidRPr="009E4410">
        <w:rPr>
          <w:sz w:val="28"/>
          <w:szCs w:val="28"/>
        </w:rPr>
        <w:t xml:space="preserve">, і з цієї точки зору концептуальна прийнятність законопроекту викликає сумніви. </w:t>
      </w:r>
      <w:r>
        <w:rPr>
          <w:sz w:val="28"/>
          <w:szCs w:val="28"/>
        </w:rPr>
        <w:t xml:space="preserve">Також, на думку фахівців Управління, </w:t>
      </w:r>
      <w:r w:rsidRPr="004010C3">
        <w:rPr>
          <w:sz w:val="28"/>
          <w:szCs w:val="28"/>
        </w:rPr>
        <w:t>виглядає незрозумілим те, що у п</w:t>
      </w:r>
      <w:r>
        <w:rPr>
          <w:sz w:val="28"/>
          <w:szCs w:val="28"/>
        </w:rPr>
        <w:t>ункті</w:t>
      </w:r>
      <w:r w:rsidRPr="004010C3">
        <w:rPr>
          <w:sz w:val="28"/>
          <w:szCs w:val="28"/>
        </w:rPr>
        <w:t xml:space="preserve"> 2 розділу І проекту пропонується здійснення регулювання питань звітування сільських, селищних, міських голів не лише приписами Закону, а й «… регламентом відповідної ради, статутом територіальної громади та </w:t>
      </w:r>
      <w:r>
        <w:rPr>
          <w:sz w:val="28"/>
          <w:szCs w:val="28"/>
        </w:rPr>
        <w:t>окремими п</w:t>
      </w:r>
      <w:r w:rsidRPr="004010C3">
        <w:rPr>
          <w:sz w:val="28"/>
          <w:szCs w:val="28"/>
        </w:rPr>
        <w:t>оложеннями, що затверджуються радою» (новий абзац ч</w:t>
      </w:r>
      <w:r>
        <w:rPr>
          <w:sz w:val="28"/>
          <w:szCs w:val="28"/>
        </w:rPr>
        <w:t>астини першої</w:t>
      </w:r>
      <w:r w:rsidRPr="004010C3">
        <w:rPr>
          <w:sz w:val="28"/>
          <w:szCs w:val="28"/>
        </w:rPr>
        <w:t xml:space="preserve"> ст</w:t>
      </w:r>
      <w:r>
        <w:rPr>
          <w:sz w:val="28"/>
          <w:szCs w:val="28"/>
        </w:rPr>
        <w:t>атті</w:t>
      </w:r>
      <w:r w:rsidRPr="004010C3">
        <w:rPr>
          <w:sz w:val="28"/>
          <w:szCs w:val="28"/>
        </w:rPr>
        <w:t xml:space="preserve"> 75 Закону). </w:t>
      </w:r>
      <w:r>
        <w:rPr>
          <w:sz w:val="28"/>
          <w:szCs w:val="28"/>
        </w:rPr>
        <w:t>Таке зв</w:t>
      </w:r>
      <w:r w:rsidRPr="004010C3">
        <w:rPr>
          <w:sz w:val="28"/>
          <w:szCs w:val="28"/>
        </w:rPr>
        <w:t xml:space="preserve">ітування сільських, </w:t>
      </w:r>
      <w:r>
        <w:rPr>
          <w:sz w:val="28"/>
          <w:szCs w:val="28"/>
        </w:rPr>
        <w:t>селищних, міських голів</w:t>
      </w:r>
      <w:r w:rsidRPr="004010C3">
        <w:rPr>
          <w:sz w:val="28"/>
          <w:szCs w:val="28"/>
        </w:rPr>
        <w:t xml:space="preserve"> призведе до необґрунтованого звуження прав місцевого самоврядування на самостійне вирішення питань.</w:t>
      </w:r>
      <w:r>
        <w:rPr>
          <w:sz w:val="28"/>
          <w:szCs w:val="28"/>
        </w:rPr>
        <w:t xml:space="preserve"> Крім того, Управління звертає увагу, що </w:t>
      </w:r>
      <w:r w:rsidRPr="007A47DA">
        <w:rPr>
          <w:sz w:val="28"/>
          <w:szCs w:val="28"/>
        </w:rPr>
        <w:t xml:space="preserve">у випадку прийняття </w:t>
      </w:r>
      <w:r>
        <w:rPr>
          <w:sz w:val="28"/>
          <w:szCs w:val="28"/>
        </w:rPr>
        <w:t>даного законо</w:t>
      </w:r>
      <w:r w:rsidRPr="007A47DA">
        <w:rPr>
          <w:sz w:val="28"/>
          <w:szCs w:val="28"/>
        </w:rPr>
        <w:t>проекту відбудеться збільшення бюджетних витрат на проведення відповідних звітів перед територіальною громадою</w:t>
      </w:r>
      <w:r>
        <w:rPr>
          <w:sz w:val="28"/>
          <w:szCs w:val="28"/>
        </w:rPr>
        <w:t xml:space="preserve"> і тому необхідно </w:t>
      </w:r>
      <w:r w:rsidRPr="007A47DA">
        <w:rPr>
          <w:sz w:val="28"/>
          <w:szCs w:val="28"/>
        </w:rPr>
        <w:t>додати фінансово-економічне обґрунтування</w:t>
      </w:r>
      <w:r>
        <w:rPr>
          <w:sz w:val="28"/>
          <w:szCs w:val="28"/>
        </w:rPr>
        <w:t xml:space="preserve">, що передбачено </w:t>
      </w:r>
      <w:r w:rsidRPr="007A47DA">
        <w:rPr>
          <w:sz w:val="28"/>
          <w:szCs w:val="28"/>
        </w:rPr>
        <w:t xml:space="preserve"> ч</w:t>
      </w:r>
      <w:r>
        <w:rPr>
          <w:sz w:val="28"/>
          <w:szCs w:val="28"/>
        </w:rPr>
        <w:t xml:space="preserve">астиною третьою </w:t>
      </w:r>
      <w:r w:rsidRPr="007A47DA">
        <w:rPr>
          <w:sz w:val="28"/>
          <w:szCs w:val="28"/>
        </w:rPr>
        <w:t>ст</w:t>
      </w:r>
      <w:r>
        <w:rPr>
          <w:sz w:val="28"/>
          <w:szCs w:val="28"/>
        </w:rPr>
        <w:t>атті</w:t>
      </w:r>
      <w:r w:rsidRPr="007A47DA">
        <w:rPr>
          <w:sz w:val="28"/>
          <w:szCs w:val="28"/>
        </w:rPr>
        <w:t xml:space="preserve"> 91 Регламенту Верховної Ради України</w:t>
      </w:r>
      <w:r>
        <w:rPr>
          <w:sz w:val="28"/>
          <w:szCs w:val="28"/>
        </w:rPr>
        <w:t>.</w:t>
      </w:r>
    </w:p>
    <w:p w:rsidR="001A1A1E" w:rsidRDefault="001A1A1E" w:rsidP="000C4E70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  <w:r w:rsidRPr="00AC3BA8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З’ясувавши позицію народних депутатів України – членів Комітету, запрошених на засідання осіб та всебічно обговоривши питання, Комітет ухвалив висновок рекомендувати Верховній Раді України відповідно до пункту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>3</w:t>
      </w:r>
      <w:r w:rsidRPr="00AC3BA8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частини</w:t>
      </w:r>
      <w:r w:rsidRPr="00DC5E0F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першої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693B29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 xml:space="preserve">статті 114 Регламенту Верховної Ради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проект Закону України </w:t>
      </w:r>
      <w:r w:rsidR="000C4E70" w:rsidRPr="00F21785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про внесення змін до Закону України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«</w:t>
      </w:r>
      <w:r w:rsidR="000C4E70" w:rsidRPr="00F21785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Про місцеве самоврядування в Україні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»</w:t>
      </w:r>
      <w:r w:rsidR="000C4E70" w:rsidRPr="00F21785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щодо звітування сільського, селищного, міського голови перед відповідною територіальною громадою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(реєстр. №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5340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від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02.11.2016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р.), поданий 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народним депутатом</w:t>
      </w:r>
      <w:r w:rsidR="000C4E70" w:rsidRPr="0008582F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України</w:t>
      </w:r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="000C4E70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Ю.Бубликом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  <w:t>за наслідками розгляду в першому читанні повернути суб’єкту права законодавчої ініціативи на доопрацювання.</w:t>
      </w:r>
    </w:p>
    <w:p w:rsidR="001A1A1E" w:rsidRPr="00C6152D" w:rsidRDefault="001A1A1E" w:rsidP="001A1A1E">
      <w:pPr>
        <w:pStyle w:val="3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</w:pPr>
      <w:r w:rsidRPr="00CB5F44"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lastRenderedPageBreak/>
        <w:t>Виступити на пленарному засіданні Верховної Ради України із співдоповіддю з цього питання Комітет доручив народному депутату України,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C6152D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і</w:t>
      </w:r>
      <w:r w:rsidRPr="00C6152D"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 підкомітету з питань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місцевого самоврядування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>Ю.Бублику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28"/>
          <w:szCs w:val="28"/>
          <w:lang w:val="uk-UA"/>
        </w:rPr>
        <w:t xml:space="preserve">. </w:t>
      </w:r>
    </w:p>
    <w:p w:rsidR="001A1A1E" w:rsidRDefault="001A1A1E" w:rsidP="001A1A1E">
      <w:pPr>
        <w:tabs>
          <w:tab w:val="left" w:pos="720"/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Висновки Головного науково-експертного управління, комітетів з питань запобігання і протидії корупції та з питань бюджету </w:t>
      </w:r>
      <w:r w:rsidRPr="009C6029">
        <w:rPr>
          <w:sz w:val="28"/>
          <w:szCs w:val="28"/>
        </w:rPr>
        <w:t>дода</w:t>
      </w:r>
      <w:r>
        <w:rPr>
          <w:sz w:val="28"/>
          <w:szCs w:val="28"/>
        </w:rPr>
        <w:t>ют</w:t>
      </w:r>
      <w:r w:rsidRPr="009C6029">
        <w:rPr>
          <w:sz w:val="28"/>
          <w:szCs w:val="28"/>
        </w:rPr>
        <w:t>ься.</w:t>
      </w:r>
    </w:p>
    <w:p w:rsidR="001A1A1E" w:rsidRPr="009C6029" w:rsidRDefault="001A1A1E" w:rsidP="001A1A1E">
      <w:pPr>
        <w:tabs>
          <w:tab w:val="left" w:pos="720"/>
          <w:tab w:val="left" w:pos="900"/>
        </w:tabs>
        <w:ind w:firstLine="709"/>
        <w:jc w:val="both"/>
        <w:rPr>
          <w:sz w:val="28"/>
          <w:szCs w:val="28"/>
        </w:rPr>
      </w:pPr>
    </w:p>
    <w:p w:rsidR="001A1A1E" w:rsidRDefault="001A1A1E" w:rsidP="001A1A1E">
      <w:pPr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Просимо розглянути.</w:t>
      </w:r>
    </w:p>
    <w:p w:rsidR="001A1A1E" w:rsidRDefault="001A1A1E" w:rsidP="001A1A1E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1A1A1E" w:rsidRDefault="001A1A1E" w:rsidP="001A1A1E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342A74" w:rsidRDefault="00342A74" w:rsidP="001A1A1E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1A1A1E" w:rsidRPr="00C91804" w:rsidRDefault="001A1A1E" w:rsidP="001A1A1E">
      <w:pPr>
        <w:pStyle w:val="3"/>
        <w:tabs>
          <w:tab w:val="left" w:pos="720"/>
          <w:tab w:val="left" w:pos="900"/>
        </w:tabs>
        <w:spacing w:before="0" w:beforeAutospacing="0" w:after="0" w:afterAutospacing="0"/>
        <w:ind w:right="-32" w:firstLine="709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1A1A1E" w:rsidRDefault="001A1A1E" w:rsidP="001A1A1E">
      <w:pPr>
        <w:pStyle w:val="a6"/>
        <w:tabs>
          <w:tab w:val="left" w:pos="567"/>
          <w:tab w:val="left" w:pos="851"/>
          <w:tab w:val="right" w:pos="9639"/>
        </w:tabs>
        <w:spacing w:after="0"/>
        <w:ind w:left="0"/>
        <w:jc w:val="both"/>
      </w:pPr>
      <w:r>
        <w:rPr>
          <w:b/>
          <w:sz w:val="28"/>
          <w:szCs w:val="28"/>
        </w:rPr>
        <w:t xml:space="preserve">           </w:t>
      </w:r>
      <w:r w:rsidRPr="00F40435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>а</w:t>
      </w:r>
      <w:r w:rsidRPr="00F40435">
        <w:rPr>
          <w:b/>
          <w:sz w:val="28"/>
          <w:szCs w:val="28"/>
        </w:rPr>
        <w:t xml:space="preserve"> Комітету       </w:t>
      </w:r>
      <w:r>
        <w:rPr>
          <w:b/>
          <w:sz w:val="28"/>
          <w:szCs w:val="28"/>
        </w:rPr>
        <w:t xml:space="preserve">             </w:t>
      </w:r>
      <w:r w:rsidRPr="00F40435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>С.ВЛАСЕНКО</w:t>
      </w:r>
      <w:r w:rsidRPr="002B040F">
        <w:t xml:space="preserve"> </w:t>
      </w:r>
    </w:p>
    <w:p w:rsidR="001A1A1E" w:rsidRDefault="001A1A1E" w:rsidP="001A1A1E"/>
    <w:p w:rsidR="001A1A1E" w:rsidRDefault="001A1A1E" w:rsidP="001A1A1E"/>
    <w:p w:rsidR="001A1A1E" w:rsidRDefault="001A1A1E" w:rsidP="001A1A1E"/>
    <w:p w:rsidR="005204CF" w:rsidRDefault="005204CF"/>
    <w:sectPr w:rsidR="005204CF" w:rsidSect="00342A74">
      <w:headerReference w:type="even" r:id="rId6"/>
      <w:headerReference w:type="default" r:id="rId7"/>
      <w:headerReference w:type="first" r:id="rId8"/>
      <w:pgSz w:w="11906" w:h="16838"/>
      <w:pgMar w:top="184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8E6" w:rsidRDefault="00D318E6" w:rsidP="001A1A1E">
      <w:r>
        <w:separator/>
      </w:r>
    </w:p>
  </w:endnote>
  <w:endnote w:type="continuationSeparator" w:id="0">
    <w:p w:rsidR="00D318E6" w:rsidRDefault="00D318E6" w:rsidP="001A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8E6" w:rsidRDefault="00D318E6" w:rsidP="001A1A1E">
      <w:r>
        <w:separator/>
      </w:r>
    </w:p>
  </w:footnote>
  <w:footnote w:type="continuationSeparator" w:id="0">
    <w:p w:rsidR="00D318E6" w:rsidRDefault="00D318E6" w:rsidP="001A1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9430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47C78" w:rsidRDefault="00D318E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9430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7930">
      <w:rPr>
        <w:rStyle w:val="a5"/>
        <w:noProof/>
      </w:rPr>
      <w:t>3</w:t>
    </w:r>
    <w:r>
      <w:rPr>
        <w:rStyle w:val="a5"/>
      </w:rPr>
      <w:fldChar w:fldCharType="end"/>
    </w:r>
  </w:p>
  <w:p w:rsidR="00147C78" w:rsidRDefault="0094301F" w:rsidP="00752FA4">
    <w:pPr>
      <w:pStyle w:val="a3"/>
      <w:tabs>
        <w:tab w:val="clear" w:pos="4677"/>
        <w:tab w:val="clear" w:pos="9355"/>
        <w:tab w:val="left" w:pos="5208"/>
      </w:tabs>
    </w:pPr>
    <w:r>
      <w:tab/>
    </w:r>
  </w:p>
  <w:p w:rsidR="00147C78" w:rsidRDefault="00D318E6" w:rsidP="00752FA4">
    <w:pPr>
      <w:pStyle w:val="a3"/>
      <w:tabs>
        <w:tab w:val="clear" w:pos="4677"/>
        <w:tab w:val="clear" w:pos="9355"/>
        <w:tab w:val="left" w:pos="5208"/>
      </w:tabs>
    </w:pPr>
  </w:p>
  <w:p w:rsidR="00147C78" w:rsidRDefault="00D318E6" w:rsidP="00752FA4">
    <w:pPr>
      <w:pStyle w:val="a3"/>
      <w:tabs>
        <w:tab w:val="clear" w:pos="4677"/>
        <w:tab w:val="clear" w:pos="9355"/>
        <w:tab w:val="left" w:pos="520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C78" w:rsidRDefault="0094301F" w:rsidP="00752FA4">
    <w:pPr>
      <w:pStyle w:val="a3"/>
      <w:jc w:val="right"/>
      <w:rPr>
        <w:sz w:val="28"/>
        <w:szCs w:val="22"/>
      </w:rPr>
    </w:pPr>
    <w:r>
      <w:rPr>
        <w:sz w:val="28"/>
        <w:szCs w:val="22"/>
      </w:rPr>
      <w:t>До реєстр. № 5</w:t>
    </w:r>
    <w:r w:rsidR="001A1A1E">
      <w:rPr>
        <w:sz w:val="28"/>
        <w:szCs w:val="22"/>
      </w:rPr>
      <w:t>340</w:t>
    </w:r>
    <w:r>
      <w:rPr>
        <w:sz w:val="28"/>
        <w:szCs w:val="22"/>
      </w:rPr>
      <w:t xml:space="preserve"> від </w:t>
    </w:r>
    <w:r w:rsidR="001A1A1E">
      <w:rPr>
        <w:sz w:val="28"/>
        <w:szCs w:val="22"/>
      </w:rPr>
      <w:t>0</w:t>
    </w:r>
    <w:r>
      <w:rPr>
        <w:sz w:val="28"/>
        <w:szCs w:val="22"/>
      </w:rPr>
      <w:t>2.1</w:t>
    </w:r>
    <w:r w:rsidR="001A1A1E">
      <w:rPr>
        <w:sz w:val="28"/>
        <w:szCs w:val="22"/>
      </w:rPr>
      <w:t>1</w:t>
    </w:r>
    <w:r>
      <w:rPr>
        <w:sz w:val="28"/>
        <w:szCs w:val="22"/>
      </w:rPr>
      <w:t>.2016</w:t>
    </w:r>
  </w:p>
  <w:p w:rsidR="00147C78" w:rsidRPr="001259BA" w:rsidRDefault="0094301F" w:rsidP="00752FA4">
    <w:pPr>
      <w:pStyle w:val="a3"/>
      <w:jc w:val="right"/>
    </w:pPr>
    <w:r>
      <w:rPr>
        <w:sz w:val="28"/>
        <w:szCs w:val="22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A1E"/>
    <w:rsid w:val="0006241C"/>
    <w:rsid w:val="000C4E70"/>
    <w:rsid w:val="001A1A1E"/>
    <w:rsid w:val="00245127"/>
    <w:rsid w:val="00274C8B"/>
    <w:rsid w:val="002F2822"/>
    <w:rsid w:val="003019B0"/>
    <w:rsid w:val="00342A74"/>
    <w:rsid w:val="005204CF"/>
    <w:rsid w:val="006E1671"/>
    <w:rsid w:val="00754B51"/>
    <w:rsid w:val="008C4F6C"/>
    <w:rsid w:val="0094301F"/>
    <w:rsid w:val="00A30505"/>
    <w:rsid w:val="00C27930"/>
    <w:rsid w:val="00C54202"/>
    <w:rsid w:val="00CC4F79"/>
    <w:rsid w:val="00D318E6"/>
    <w:rsid w:val="00FC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04CF2"/>
  <w15:chartTrackingRefBased/>
  <w15:docId w15:val="{63703A98-5D7A-49AF-B653-5C7D2101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A1E"/>
    <w:pPr>
      <w:spacing w:after="0" w:line="240" w:lineRule="auto"/>
    </w:pPr>
    <w:rPr>
      <w:rFonts w:eastAsia="Calibri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1A1A1E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A1A1E"/>
    <w:rPr>
      <w:rFonts w:ascii="Arial Unicode MS" w:eastAsia="Arial Unicode MS" w:hAnsi="Arial Unicode MS" w:cs="Arial Unicode MS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semiHidden/>
    <w:rsid w:val="001A1A1E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semiHidden/>
    <w:rsid w:val="001A1A1E"/>
    <w:rPr>
      <w:rFonts w:eastAsia="Calibri" w:cs="Times New Roman"/>
      <w:sz w:val="24"/>
      <w:szCs w:val="24"/>
      <w:lang w:eastAsia="ru-RU"/>
    </w:rPr>
  </w:style>
  <w:style w:type="character" w:styleId="a5">
    <w:name w:val="page number"/>
    <w:basedOn w:val="a0"/>
    <w:semiHidden/>
    <w:rsid w:val="001A1A1E"/>
    <w:rPr>
      <w:rFonts w:cs="Times New Roman"/>
    </w:rPr>
  </w:style>
  <w:style w:type="paragraph" w:styleId="a6">
    <w:name w:val="Body Text Indent"/>
    <w:basedOn w:val="a"/>
    <w:link w:val="a7"/>
    <w:rsid w:val="001A1A1E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1A1A1E"/>
    <w:rPr>
      <w:rFonts w:eastAsia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A1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1A1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1A1A1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1A1A1E"/>
    <w:rPr>
      <w:rFonts w:eastAsia="Calibri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C4F6C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C4F6C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3584</Words>
  <Characters>2043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Корнієнко Тетяна Миколаївна</cp:lastModifiedBy>
  <cp:revision>14</cp:revision>
  <cp:lastPrinted>2017-04-19T13:28:00Z</cp:lastPrinted>
  <dcterms:created xsi:type="dcterms:W3CDTF">2017-04-13T14:06:00Z</dcterms:created>
  <dcterms:modified xsi:type="dcterms:W3CDTF">2017-04-25T07:22:00Z</dcterms:modified>
</cp:coreProperties>
</file>