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BFB" w:rsidRPr="00B75BFB" w:rsidRDefault="00B75BFB" w:rsidP="00B75BFB">
      <w:pPr>
        <w:spacing w:after="0"/>
        <w:ind w:left="6120"/>
        <w:jc w:val="center"/>
        <w:rPr>
          <w:rFonts w:eastAsia="Times New Roman" w:cs="Times New Roman"/>
          <w:bCs/>
          <w:sz w:val="22"/>
          <w:lang w:eastAsia="ru-RU"/>
        </w:rPr>
      </w:pPr>
      <w:r w:rsidRPr="00B75BFB">
        <w:rPr>
          <w:rFonts w:eastAsia="Times New Roman" w:cs="Times New Roman"/>
          <w:bCs/>
          <w:caps/>
          <w:sz w:val="22"/>
          <w:lang w:eastAsia="ru-RU"/>
        </w:rPr>
        <w:t>Д</w:t>
      </w:r>
      <w:r w:rsidRPr="00B75BFB">
        <w:rPr>
          <w:rFonts w:eastAsia="Times New Roman" w:cs="Times New Roman"/>
          <w:bCs/>
          <w:sz w:val="22"/>
          <w:lang w:eastAsia="ru-RU"/>
        </w:rPr>
        <w:t xml:space="preserve">о реєстр. № </w:t>
      </w:r>
      <w:r>
        <w:rPr>
          <w:rFonts w:eastAsia="Times New Roman" w:cs="Times New Roman"/>
          <w:bCs/>
          <w:sz w:val="22"/>
          <w:lang w:eastAsia="ru-RU"/>
        </w:rPr>
        <w:t>5495</w:t>
      </w:r>
      <w:r w:rsidRPr="00B75BFB">
        <w:rPr>
          <w:rFonts w:eastAsia="Times New Roman" w:cs="Times New Roman"/>
          <w:bCs/>
          <w:sz w:val="22"/>
          <w:lang w:eastAsia="ru-RU"/>
        </w:rPr>
        <w:t xml:space="preserve"> </w:t>
      </w:r>
      <w:r w:rsidRPr="00B75BFB">
        <w:rPr>
          <w:rFonts w:eastAsia="Times New Roman" w:cs="Times New Roman"/>
          <w:bCs/>
          <w:sz w:val="22"/>
          <w:lang w:val="ru-RU" w:eastAsia="ru-RU"/>
        </w:rPr>
        <w:t xml:space="preserve"> </w:t>
      </w:r>
    </w:p>
    <w:p w:rsidR="00B75BFB" w:rsidRPr="00B75BFB" w:rsidRDefault="00B75BFB" w:rsidP="00B75BFB">
      <w:pPr>
        <w:spacing w:after="0"/>
        <w:ind w:left="6120"/>
        <w:jc w:val="center"/>
        <w:rPr>
          <w:rFonts w:eastAsia="Times New Roman" w:cs="Times New Roman"/>
          <w:bCs/>
          <w:sz w:val="22"/>
          <w:lang w:eastAsia="ru-RU"/>
        </w:rPr>
      </w:pPr>
      <w:r w:rsidRPr="00B75BFB">
        <w:rPr>
          <w:rFonts w:eastAsia="Times New Roman" w:cs="Times New Roman"/>
          <w:bCs/>
          <w:sz w:val="22"/>
          <w:lang w:eastAsia="ru-RU"/>
        </w:rPr>
        <w:t>(друге читання)</w:t>
      </w:r>
    </w:p>
    <w:p w:rsidR="00B75BFB" w:rsidRPr="00B75BFB" w:rsidRDefault="00B75BFB" w:rsidP="00B75BFB">
      <w:pPr>
        <w:spacing w:after="0"/>
        <w:rPr>
          <w:rFonts w:eastAsia="Times New Roman" w:cs="Times New Roman"/>
          <w:sz w:val="24"/>
          <w:szCs w:val="24"/>
          <w:lang w:eastAsia="ru-RU"/>
        </w:rPr>
      </w:pPr>
    </w:p>
    <w:p w:rsidR="00B75BFB" w:rsidRPr="00B75BFB" w:rsidRDefault="00B75BFB" w:rsidP="00B75BFB">
      <w:pPr>
        <w:spacing w:after="0"/>
        <w:jc w:val="center"/>
        <w:rPr>
          <w:rFonts w:eastAsia="Times New Roman" w:cs="Times New Roman"/>
          <w:b/>
          <w:bCs/>
          <w:sz w:val="32"/>
          <w:szCs w:val="24"/>
          <w:lang w:eastAsia="ru-RU"/>
        </w:rPr>
      </w:pPr>
    </w:p>
    <w:p w:rsidR="00B75BFB" w:rsidRPr="00B75BFB" w:rsidRDefault="00B75BFB" w:rsidP="00B75BFB">
      <w:pPr>
        <w:spacing w:after="0"/>
        <w:jc w:val="center"/>
        <w:rPr>
          <w:rFonts w:eastAsia="Times New Roman" w:cs="Times New Roman"/>
          <w:b/>
          <w:bCs/>
          <w:sz w:val="32"/>
          <w:szCs w:val="24"/>
          <w:lang w:eastAsia="ru-RU"/>
        </w:rPr>
      </w:pPr>
    </w:p>
    <w:p w:rsidR="00B75BFB" w:rsidRPr="00B75BFB" w:rsidRDefault="00B75BFB" w:rsidP="00B75BFB">
      <w:pPr>
        <w:spacing w:after="0"/>
        <w:jc w:val="center"/>
        <w:rPr>
          <w:rFonts w:eastAsia="Times New Roman" w:cs="Times New Roman"/>
          <w:b/>
          <w:bCs/>
          <w:sz w:val="32"/>
          <w:szCs w:val="24"/>
          <w:lang w:eastAsia="ru-RU"/>
        </w:rPr>
      </w:pPr>
    </w:p>
    <w:p w:rsidR="00B75BFB" w:rsidRPr="00B75BFB" w:rsidRDefault="00B75BFB" w:rsidP="00B75BFB">
      <w:pPr>
        <w:spacing w:after="0"/>
        <w:jc w:val="center"/>
        <w:rPr>
          <w:rFonts w:eastAsia="Times New Roman" w:cs="Times New Roman"/>
          <w:b/>
          <w:bCs/>
          <w:sz w:val="32"/>
          <w:szCs w:val="24"/>
          <w:lang w:eastAsia="ru-RU"/>
        </w:rPr>
      </w:pPr>
    </w:p>
    <w:p w:rsidR="00B75BFB" w:rsidRPr="00B75BFB" w:rsidRDefault="00B75BFB" w:rsidP="00B75BFB">
      <w:pPr>
        <w:spacing w:after="0"/>
        <w:jc w:val="center"/>
        <w:rPr>
          <w:rFonts w:eastAsia="Times New Roman" w:cs="Times New Roman"/>
          <w:b/>
          <w:bCs/>
          <w:sz w:val="32"/>
          <w:szCs w:val="24"/>
          <w:lang w:eastAsia="ru-RU"/>
        </w:rPr>
      </w:pPr>
    </w:p>
    <w:p w:rsidR="00B75BFB" w:rsidRPr="00B75BFB" w:rsidRDefault="00B75BFB" w:rsidP="00B75BFB">
      <w:pPr>
        <w:spacing w:after="0"/>
        <w:jc w:val="center"/>
        <w:rPr>
          <w:rFonts w:eastAsia="Times New Roman" w:cs="Times New Roman"/>
          <w:b/>
          <w:bCs/>
          <w:sz w:val="32"/>
          <w:szCs w:val="24"/>
          <w:lang w:eastAsia="ru-RU"/>
        </w:rPr>
      </w:pPr>
    </w:p>
    <w:p w:rsidR="00B75BFB" w:rsidRPr="00B75BFB" w:rsidRDefault="00B75BFB" w:rsidP="00B75BFB">
      <w:pPr>
        <w:spacing w:after="0"/>
        <w:jc w:val="center"/>
        <w:rPr>
          <w:rFonts w:eastAsia="Times New Roman" w:cs="Times New Roman"/>
          <w:b/>
          <w:bCs/>
          <w:szCs w:val="28"/>
          <w:lang w:eastAsia="ru-RU"/>
        </w:rPr>
      </w:pPr>
    </w:p>
    <w:p w:rsidR="00B75BFB" w:rsidRPr="00B75BFB" w:rsidRDefault="00B75BFB" w:rsidP="00B75BFB">
      <w:pPr>
        <w:spacing w:after="0"/>
        <w:jc w:val="center"/>
        <w:rPr>
          <w:rFonts w:eastAsia="Times New Roman" w:cs="Times New Roman"/>
          <w:b/>
          <w:bCs/>
          <w:szCs w:val="28"/>
          <w:lang w:eastAsia="ru-RU"/>
        </w:rPr>
      </w:pPr>
      <w:r w:rsidRPr="00B75BFB">
        <w:rPr>
          <w:rFonts w:eastAsia="Times New Roman" w:cs="Times New Roman"/>
          <w:b/>
          <w:bCs/>
          <w:szCs w:val="28"/>
          <w:lang w:eastAsia="ru-RU"/>
        </w:rPr>
        <w:t>З А У В А Ж Е Н Н Я</w:t>
      </w:r>
    </w:p>
    <w:p w:rsidR="00B75BFB" w:rsidRPr="00B75BFB" w:rsidRDefault="00B75BFB" w:rsidP="00B75BFB">
      <w:pPr>
        <w:spacing w:after="0"/>
        <w:jc w:val="center"/>
        <w:rPr>
          <w:rFonts w:eastAsia="Times New Roman" w:cs="Times New Roman"/>
          <w:sz w:val="32"/>
          <w:szCs w:val="24"/>
          <w:lang w:eastAsia="ru-RU"/>
        </w:rPr>
      </w:pPr>
    </w:p>
    <w:p w:rsidR="00B75BFB" w:rsidRPr="00B75BFB" w:rsidRDefault="00B75BFB" w:rsidP="00B75BFB">
      <w:pPr>
        <w:spacing w:after="0"/>
        <w:jc w:val="center"/>
        <w:rPr>
          <w:rFonts w:eastAsia="Times New Roman" w:cs="Times New Roman"/>
          <w:b/>
          <w:szCs w:val="28"/>
          <w:lang w:eastAsia="ru-RU"/>
        </w:rPr>
      </w:pPr>
      <w:r w:rsidRPr="00B75BFB">
        <w:rPr>
          <w:rFonts w:eastAsia="Times New Roman" w:cs="Times New Roman"/>
          <w:sz w:val="32"/>
          <w:szCs w:val="24"/>
          <w:lang w:eastAsia="ru-RU"/>
        </w:rPr>
        <w:t xml:space="preserve"> </w:t>
      </w:r>
      <w:r w:rsidRPr="00B75BFB">
        <w:rPr>
          <w:rFonts w:eastAsia="Times New Roman" w:cs="Times New Roman"/>
          <w:b/>
          <w:szCs w:val="28"/>
          <w:lang w:eastAsia="ru-RU"/>
        </w:rPr>
        <w:t xml:space="preserve">до проекту Закону України </w:t>
      </w:r>
    </w:p>
    <w:p w:rsidR="00A804AB" w:rsidRDefault="00B75BFB" w:rsidP="00B75BFB">
      <w:pPr>
        <w:spacing w:after="0"/>
        <w:jc w:val="center"/>
        <w:rPr>
          <w:rFonts w:eastAsia="Times New Roman" w:cs="Times New Roman"/>
          <w:b/>
          <w:szCs w:val="28"/>
          <w:lang w:eastAsia="ru-RU"/>
        </w:rPr>
      </w:pPr>
      <w:r w:rsidRPr="00B75BFB">
        <w:rPr>
          <w:rFonts w:eastAsia="Times New Roman" w:cs="Times New Roman"/>
          <w:b/>
          <w:szCs w:val="28"/>
          <w:lang w:eastAsia="ru-RU"/>
        </w:rPr>
        <w:t>«Про внесення змін до деяких</w:t>
      </w:r>
      <w:r>
        <w:rPr>
          <w:rFonts w:eastAsia="Times New Roman" w:cs="Times New Roman"/>
          <w:b/>
          <w:szCs w:val="28"/>
          <w:lang w:eastAsia="ru-RU"/>
        </w:rPr>
        <w:t xml:space="preserve"> законів України щодо збереження українських лісів та запобігання незаконному вивезенню </w:t>
      </w:r>
    </w:p>
    <w:p w:rsidR="00B75BFB" w:rsidRPr="00B75BFB" w:rsidRDefault="00B75BFB" w:rsidP="00B75BFB">
      <w:pPr>
        <w:spacing w:after="0"/>
        <w:jc w:val="center"/>
        <w:rPr>
          <w:rFonts w:eastAsia="Times New Roman" w:cs="Times New Roman"/>
          <w:b/>
          <w:szCs w:val="28"/>
          <w:lang w:eastAsia="ru-RU"/>
        </w:rPr>
      </w:pPr>
      <w:r>
        <w:rPr>
          <w:rFonts w:eastAsia="Times New Roman" w:cs="Times New Roman"/>
          <w:b/>
          <w:szCs w:val="28"/>
          <w:lang w:eastAsia="ru-RU"/>
        </w:rPr>
        <w:t>необроблених лісоматеріалів</w:t>
      </w:r>
      <w:r w:rsidRPr="00B75BFB">
        <w:rPr>
          <w:rFonts w:eastAsia="Times New Roman" w:cs="Times New Roman"/>
          <w:b/>
          <w:szCs w:val="28"/>
          <w:lang w:eastAsia="ru-RU"/>
        </w:rPr>
        <w:t>»</w:t>
      </w:r>
    </w:p>
    <w:p w:rsidR="00B75BFB" w:rsidRPr="00B75BFB" w:rsidRDefault="00B75BFB" w:rsidP="00B75BFB">
      <w:pPr>
        <w:spacing w:after="0"/>
        <w:jc w:val="center"/>
        <w:rPr>
          <w:rFonts w:eastAsia="Times New Roman" w:cs="Times New Roman"/>
          <w:szCs w:val="24"/>
          <w:lang w:eastAsia="ru-RU"/>
        </w:rPr>
      </w:pPr>
    </w:p>
    <w:p w:rsidR="00B75BFB" w:rsidRPr="00B75BFB" w:rsidRDefault="00B75BFB" w:rsidP="00B75BFB">
      <w:pPr>
        <w:spacing w:after="0"/>
        <w:ind w:firstLine="709"/>
        <w:rPr>
          <w:rFonts w:eastAsia="Times New Roman" w:cs="Times New Roman"/>
          <w:szCs w:val="24"/>
          <w:lang w:eastAsia="ru-RU"/>
        </w:rPr>
      </w:pPr>
    </w:p>
    <w:p w:rsidR="00B75BFB" w:rsidRPr="00B75BFB" w:rsidRDefault="00B75BFB" w:rsidP="00B75BFB">
      <w:pPr>
        <w:spacing w:after="0"/>
        <w:ind w:firstLine="709"/>
        <w:rPr>
          <w:rFonts w:eastAsia="Times New Roman" w:cs="Times New Roman"/>
          <w:szCs w:val="24"/>
          <w:lang w:eastAsia="ru-RU"/>
        </w:rPr>
      </w:pPr>
      <w:r w:rsidRPr="00B75BFB">
        <w:rPr>
          <w:rFonts w:eastAsia="Times New Roman" w:cs="Times New Roman"/>
          <w:szCs w:val="24"/>
          <w:lang w:eastAsia="ru-RU"/>
        </w:rPr>
        <w:t>У Головному юридичному управлінні проаналізовано текст проекту Закону України «Про внесення змін до деяких</w:t>
      </w:r>
      <w:r>
        <w:rPr>
          <w:rFonts w:eastAsia="Times New Roman" w:cs="Times New Roman"/>
          <w:szCs w:val="24"/>
          <w:lang w:eastAsia="ru-RU"/>
        </w:rPr>
        <w:t xml:space="preserve"> законів України щодо збереження українських лісів та запобігання незаконному вивезенню необроблених лісоматеріалів</w:t>
      </w:r>
      <w:r w:rsidRPr="00B75BFB">
        <w:rPr>
          <w:rFonts w:eastAsia="Times New Roman" w:cs="Times New Roman"/>
          <w:szCs w:val="24"/>
          <w:lang w:eastAsia="ru-RU"/>
        </w:rPr>
        <w:t>»</w:t>
      </w:r>
      <w:r w:rsidR="00E076D8">
        <w:rPr>
          <w:rFonts w:eastAsia="Times New Roman" w:cs="Times New Roman"/>
          <w:szCs w:val="24"/>
          <w:lang w:eastAsia="ru-RU"/>
        </w:rPr>
        <w:t xml:space="preserve"> (далі – проект)</w:t>
      </w:r>
      <w:r w:rsidRPr="00B75BFB">
        <w:rPr>
          <w:rFonts w:eastAsia="Times New Roman" w:cs="Times New Roman"/>
          <w:szCs w:val="24"/>
          <w:lang w:eastAsia="ru-RU"/>
        </w:rPr>
        <w:t>, підготовлений до розгляду у другому читанні, та висловлюються такі зауваження.</w:t>
      </w:r>
    </w:p>
    <w:p w:rsidR="00B60FCA" w:rsidRDefault="00B60FCA"/>
    <w:p w:rsidR="00E076D8" w:rsidRDefault="00E076D8">
      <w:pPr>
        <w:rPr>
          <w:color w:val="000000"/>
        </w:rPr>
      </w:pPr>
      <w:r>
        <w:tab/>
        <w:t xml:space="preserve">1. Частиною третьою статті 4 проекту передбачено, що </w:t>
      </w:r>
      <w:r w:rsidRPr="00E076D8">
        <w:rPr>
          <w:u w:val="single"/>
        </w:rPr>
        <w:t>м</w:t>
      </w:r>
      <w:r w:rsidRPr="00E076D8">
        <w:rPr>
          <w:color w:val="000000"/>
          <w:u w:val="single"/>
        </w:rPr>
        <w:t>оніторинг</w:t>
      </w:r>
      <w:r w:rsidRPr="00E076D8">
        <w:rPr>
          <w:color w:val="000000"/>
        </w:rPr>
        <w:t xml:space="preserve"> внутрішнього споживання вітчизняних лісоматеріалів необроблених, а також </w:t>
      </w:r>
      <w:r w:rsidRPr="00E076D8">
        <w:rPr>
          <w:color w:val="000000"/>
          <w:u w:val="single"/>
        </w:rPr>
        <w:t>контроль</w:t>
      </w:r>
      <w:r w:rsidRPr="00E076D8">
        <w:rPr>
          <w:color w:val="000000"/>
        </w:rPr>
        <w:t xml:space="preserve"> за неперевищенням обсягу внутрішнього споживання вітчизняних лісоматеріалів необроблених, встановленого цією статтею, здійснюються центральним органом виконавчої влади, що реалізує державну політику у сфері лісового господарства, в порядку, встановленому Кабінетом Міністрів України</w:t>
      </w:r>
      <w:r>
        <w:rPr>
          <w:color w:val="000000"/>
        </w:rPr>
        <w:t>.</w:t>
      </w:r>
    </w:p>
    <w:p w:rsidR="00B75BFB" w:rsidRDefault="00E076D8" w:rsidP="00E076D8">
      <w:pPr>
        <w:rPr>
          <w:rFonts w:eastAsia="Times New Roman" w:cs="Times New Roman"/>
          <w:szCs w:val="28"/>
          <w:lang w:eastAsia="ru-RU"/>
        </w:rPr>
      </w:pPr>
      <w:r>
        <w:rPr>
          <w:color w:val="000000"/>
        </w:rPr>
        <w:tab/>
        <w:t xml:space="preserve">Натомість це </w:t>
      </w:r>
      <w:r w:rsidR="00B75BFB" w:rsidRPr="00B75BFB">
        <w:rPr>
          <w:rFonts w:eastAsia="Times New Roman" w:cs="Times New Roman"/>
          <w:szCs w:val="28"/>
          <w:lang w:eastAsia="ru-RU"/>
        </w:rPr>
        <w:t>не узгоджується з вимогами статті 19 Конституції України щодо визначення способу здійснення повноважень органами державної влади, їх посадовими особами виключно Конституцією та законами України, та не враховує правової позиції Конституційного Суду України, оскільки не містить достатніх і завершених правових механізмів реалізації положень, як того вимагає принцип правової держави (Рішення від 30 травня 2001 року N 7-рп/2001).</w:t>
      </w:r>
    </w:p>
    <w:p w:rsidR="00D41DD7" w:rsidRPr="008E7669" w:rsidRDefault="00E076D8" w:rsidP="00D41DD7">
      <w:pPr>
        <w:spacing w:after="0"/>
        <w:rPr>
          <w:szCs w:val="28"/>
        </w:rPr>
      </w:pPr>
      <w:r>
        <w:rPr>
          <w:rFonts w:eastAsia="Times New Roman" w:cs="Times New Roman"/>
          <w:szCs w:val="28"/>
          <w:lang w:eastAsia="ru-RU"/>
        </w:rPr>
        <w:tab/>
        <w:t xml:space="preserve">2. </w:t>
      </w:r>
      <w:r w:rsidR="00D41DD7" w:rsidRPr="008E7669">
        <w:rPr>
          <w:szCs w:val="28"/>
        </w:rPr>
        <w:t>Відповідно до статті 8 Конституції України в Україні визнається і діє принцип верховенства права. При цьому одним з основних фундаментальних елементів цього принципу є юридична визначеність, згідно з якою юридичні норми мають бути чіткими, ясними і недвозначними, оскільки інше не може забезпечити їх однакове застосування та не виключає необмеженості трактування у правозастосовній практиці. На це звертав увагу і Конституційний Суд України у відповідних рішеннях від 22.09.2005 №5-рп, 29.06.2010р. №17-рп, 11.10.2011р. № 10-рп.</w:t>
      </w:r>
    </w:p>
    <w:p w:rsidR="00D41DD7" w:rsidRDefault="00D41DD7" w:rsidP="00D41DD7">
      <w:pPr>
        <w:pStyle w:val="a4"/>
        <w:ind w:firstLine="708"/>
        <w:jc w:val="both"/>
        <w:rPr>
          <w:lang w:val="uk-UA"/>
        </w:rPr>
      </w:pPr>
      <w:r>
        <w:rPr>
          <w:lang w:val="uk-UA"/>
        </w:rPr>
        <w:lastRenderedPageBreak/>
        <w:t xml:space="preserve">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сформованим з </w:t>
      </w:r>
      <w:r w:rsidRPr="00D77F28">
        <w:rPr>
          <w:u w:val="single"/>
          <w:lang w:val="uk-UA"/>
        </w:rPr>
        <w:t>достатньою точністю</w:t>
      </w:r>
      <w:r>
        <w:rPr>
          <w:lang w:val="uk-UA"/>
        </w:rPr>
        <w:t xml:space="preserve"> для того, щоб надати їм можливість регулювати свою поведінку аби бути здатними – за потреби, за відповідної консультації – </w:t>
      </w:r>
      <w:r w:rsidRPr="00D77F28">
        <w:rPr>
          <w:u w:val="single"/>
          <w:lang w:val="uk-UA"/>
        </w:rPr>
        <w:t>передбачати</w:t>
      </w:r>
      <w:r>
        <w:rPr>
          <w:lang w:val="uk-UA"/>
        </w:rPr>
        <w:t xml:space="preserve"> тією мірою, що є розумною за відповідних обставин, </w:t>
      </w:r>
      <w:r w:rsidRPr="00D77F28">
        <w:rPr>
          <w:u w:val="single"/>
          <w:lang w:val="uk-UA"/>
        </w:rPr>
        <w:t>наслідки</w:t>
      </w:r>
      <w:r>
        <w:rPr>
          <w:lang w:val="uk-UA"/>
        </w:rPr>
        <w:t xml:space="preserve">, які може потягнути за собою його дія» (рішення у справі «Вєренцов проти України, 11 квітня 2013 року). </w:t>
      </w:r>
    </w:p>
    <w:p w:rsidR="00D41DD7" w:rsidRDefault="00D41DD7" w:rsidP="00D41DD7">
      <w:pPr>
        <w:ind w:firstLine="708"/>
        <w:rPr>
          <w:rFonts w:eastAsia="Times New Roman" w:cs="Times New Roman"/>
          <w:szCs w:val="28"/>
          <w:lang w:eastAsia="ru-RU"/>
        </w:rPr>
      </w:pPr>
      <w:r>
        <w:t xml:space="preserve">Однак, незважаючи на зазначені вимоги, проект містить юридичну невизначеність, яка </w:t>
      </w:r>
      <w:r w:rsidR="00000AD6">
        <w:t xml:space="preserve">полягає </w:t>
      </w:r>
      <w:r>
        <w:t xml:space="preserve">у наступному. </w:t>
      </w:r>
    </w:p>
    <w:p w:rsidR="006278E5" w:rsidRPr="00000AD6" w:rsidRDefault="006278E5" w:rsidP="00D41DD7">
      <w:pPr>
        <w:ind w:firstLine="708"/>
      </w:pPr>
      <w:r>
        <w:rPr>
          <w:rFonts w:eastAsia="Times New Roman" w:cs="Times New Roman"/>
          <w:szCs w:val="28"/>
          <w:lang w:eastAsia="ru-RU"/>
        </w:rPr>
        <w:t>П</w:t>
      </w:r>
      <w:r w:rsidR="00E076D8">
        <w:rPr>
          <w:rFonts w:eastAsia="Times New Roman" w:cs="Times New Roman"/>
          <w:szCs w:val="28"/>
          <w:lang w:eastAsia="ru-RU"/>
        </w:rPr>
        <w:t>ункт</w:t>
      </w:r>
      <w:r>
        <w:rPr>
          <w:rFonts w:eastAsia="Times New Roman" w:cs="Times New Roman"/>
          <w:szCs w:val="28"/>
          <w:lang w:eastAsia="ru-RU"/>
        </w:rPr>
        <w:t>ом</w:t>
      </w:r>
      <w:r w:rsidR="00E076D8">
        <w:rPr>
          <w:rFonts w:eastAsia="Times New Roman" w:cs="Times New Roman"/>
          <w:szCs w:val="28"/>
          <w:lang w:eastAsia="ru-RU"/>
        </w:rPr>
        <w:t xml:space="preserve"> 2 Розділу ІІ «Прикінцеві положення» проекту </w:t>
      </w:r>
      <w:r>
        <w:rPr>
          <w:rFonts w:eastAsia="Times New Roman" w:cs="Times New Roman"/>
          <w:szCs w:val="28"/>
          <w:lang w:eastAsia="ru-RU"/>
        </w:rPr>
        <w:t xml:space="preserve">встановлено імперативну норму про те, що </w:t>
      </w:r>
      <w:r w:rsidRPr="00000AD6">
        <w:rPr>
          <w:rFonts w:eastAsia="Times New Roman" w:cs="Times New Roman"/>
          <w:szCs w:val="28"/>
          <w:lang w:eastAsia="ru-RU"/>
        </w:rPr>
        <w:t>«т</w:t>
      </w:r>
      <w:r w:rsidR="00E076D8" w:rsidRPr="00000AD6">
        <w:t>имчасово, строком на вісім років з дня набрання чинності цим Законом, забороняється вивезення за межі митної території України в митному режимі експорту деревини паливної (товарна позиція 4401 згідно з УКТЗЕД)</w:t>
      </w:r>
      <w:r w:rsidRPr="00000AD6">
        <w:t xml:space="preserve">». </w:t>
      </w:r>
    </w:p>
    <w:p w:rsidR="00112AC3" w:rsidRDefault="00D41DD7" w:rsidP="00A538D5">
      <w:pPr>
        <w:ind w:firstLine="708"/>
      </w:pPr>
      <w:r>
        <w:t>Однак</w:t>
      </w:r>
      <w:r w:rsidR="006C73C4">
        <w:t xml:space="preserve">, </w:t>
      </w:r>
      <w:r w:rsidR="00112AC3">
        <w:t xml:space="preserve">із тексту проекту не зрозуміло вид відповідальності за порушення зазначеного припису </w:t>
      </w:r>
      <w:r w:rsidR="00A804AB">
        <w:rPr>
          <w:lang w:val="ru-RU"/>
        </w:rPr>
        <w:t>пр</w:t>
      </w:r>
      <w:r w:rsidR="00112AC3">
        <w:t xml:space="preserve">о </w:t>
      </w:r>
      <w:r w:rsidR="00112AC3" w:rsidRPr="00000AD6">
        <w:t>вивезення за межі митної території України в митному режимі експорту деревини паливної (товарна позиція 4401 згідно з УКТЗЕД)</w:t>
      </w:r>
      <w:r w:rsidR="00112AC3">
        <w:t xml:space="preserve">. </w:t>
      </w:r>
    </w:p>
    <w:p w:rsidR="00112AC3" w:rsidRDefault="00112AC3" w:rsidP="00112AC3">
      <w:pPr>
        <w:ind w:firstLine="708"/>
      </w:pPr>
      <w:r>
        <w:t>Так, статтею</w:t>
      </w:r>
      <w:r w:rsidR="00A538D5">
        <w:t xml:space="preserve"> </w:t>
      </w:r>
      <w:r w:rsidR="00A538D5">
        <w:t>201-1 Кримінального  кодексу Укра</w:t>
      </w:r>
      <w:r>
        <w:t>їни (в редакції проекту)</w:t>
      </w:r>
      <w:r w:rsidR="00A538D5">
        <w:t xml:space="preserve"> </w:t>
      </w:r>
      <w:r w:rsidR="00A538D5">
        <w:t>передбач</w:t>
      </w:r>
      <w:r>
        <w:t>ено</w:t>
      </w:r>
      <w:r w:rsidR="00A538D5">
        <w:t xml:space="preserve"> кримінальну відповідальність за переміщення через митний кордон України поза митним контролем або приховування від митного контролю </w:t>
      </w:r>
      <w:r w:rsidR="00A538D5" w:rsidRPr="00112AC3">
        <w:rPr>
          <w:u w:val="single"/>
        </w:rPr>
        <w:t>лісоматеріалів або пиломатеріалів цінних та рідкісних дерев, а також лісоматеріалів неперероблених</w:t>
      </w:r>
      <w:r>
        <w:t xml:space="preserve">. Відповідно до статті </w:t>
      </w:r>
      <w:r>
        <w:t>1 Закону України «Про особливості державного регулювання діяльності суб’єктів підприємницької діяльності, пов’язаної з реалізацією та експортом лісоматеріалів»</w:t>
      </w:r>
      <w:r>
        <w:t xml:space="preserve"> </w:t>
      </w:r>
      <w:r w:rsidRPr="00112AC3">
        <w:rPr>
          <w:u w:val="single"/>
        </w:rPr>
        <w:t xml:space="preserve">лісоматеріали </w:t>
      </w:r>
      <w:r>
        <w:t xml:space="preserve">-  </w:t>
      </w:r>
      <w:r>
        <w:t xml:space="preserve">це </w:t>
      </w:r>
      <w:r>
        <w:t>деревні  матеріали,  які  добуваються шляхом розподілу на частини звалених дерев та деревних колод (уздовж або поперек) для подальшого використання або переробки;</w:t>
      </w:r>
      <w:r>
        <w:t xml:space="preserve"> </w:t>
      </w:r>
      <w:r w:rsidRPr="00112AC3">
        <w:rPr>
          <w:u w:val="single"/>
        </w:rPr>
        <w:t>лісоматеріали необроблені</w:t>
      </w:r>
      <w:r>
        <w:t xml:space="preserve"> - лісоматеріали згідно з кодом 4403 групи 44 розділу IX Української класифікації товарів зовнішньоекономічної діяльності; </w:t>
      </w:r>
      <w:r w:rsidRPr="00112AC3">
        <w:rPr>
          <w:u w:val="single"/>
        </w:rPr>
        <w:t>пиломатеріали</w:t>
      </w:r>
      <w:r>
        <w:t xml:space="preserve"> - пилопродукція певних розмірів та якості, яка має щонайменше дві плоскопаралельні пласті (розділ IX, група 44, код  4407 Української класифікації товарів зовнішньоекономічної діяльності);</w:t>
      </w:r>
      <w:r>
        <w:t xml:space="preserve"> </w:t>
      </w:r>
      <w:r w:rsidRPr="00112AC3">
        <w:rPr>
          <w:u w:val="single"/>
        </w:rPr>
        <w:t>цінні та рідкісні породи дерев</w:t>
      </w:r>
      <w:r>
        <w:t xml:space="preserve"> - акація, берека, вишня, груша, горіх, каштан, тис ягідний, черешня, явір, ялівець.</w:t>
      </w:r>
      <w:r>
        <w:t xml:space="preserve"> </w:t>
      </w:r>
    </w:p>
    <w:p w:rsidR="00112AC3" w:rsidRDefault="00112AC3" w:rsidP="00112AC3">
      <w:pPr>
        <w:ind w:firstLine="708"/>
      </w:pPr>
      <w:r>
        <w:t xml:space="preserve">Тобто, проект </w:t>
      </w:r>
      <w:r>
        <w:t xml:space="preserve">не дає однозначної відповіді щодо того, чи відноситься деревина паливна до лісоматеріалів </w:t>
      </w:r>
      <w:r w:rsidRPr="009A3243">
        <w:t xml:space="preserve">або пиломатеріалів цінних та рідкісних дерев </w:t>
      </w:r>
      <w:r>
        <w:t xml:space="preserve">в розумінні статті </w:t>
      </w:r>
      <w:r>
        <w:t xml:space="preserve">в розумінні статті 1 </w:t>
      </w:r>
      <w:r>
        <w:t>Закону України «Про особливості державного регулювання діяльності суб’єктів підприємницької діяльності, пов’язаної з реалізацією та експортом лісоматеріалів»</w:t>
      </w:r>
      <w:r w:rsidR="00642F35">
        <w:t xml:space="preserve">. </w:t>
      </w:r>
    </w:p>
    <w:p w:rsidR="00112AC3" w:rsidRDefault="00112AC3" w:rsidP="00112AC3">
      <w:pPr>
        <w:ind w:firstLine="708"/>
      </w:pPr>
    </w:p>
    <w:p w:rsidR="00D41DD7" w:rsidRDefault="00D41DD7" w:rsidP="00D41DD7">
      <w:pPr>
        <w:ind w:firstLine="708"/>
      </w:pPr>
      <w:r>
        <w:lastRenderedPageBreak/>
        <w:t xml:space="preserve">Крім того, </w:t>
      </w:r>
      <w:r w:rsidR="00642F35">
        <w:t xml:space="preserve">зазначений вище </w:t>
      </w:r>
      <w:r>
        <w:t xml:space="preserve">нормотворчий підхід не відповідає вимогам щодо якості законів </w:t>
      </w:r>
      <w:r w:rsidRPr="00AD08C6">
        <w:t>у контексті верховенства права (стаття 8 Конституції України)</w:t>
      </w:r>
      <w:r>
        <w:t xml:space="preserve">, а також правилам </w:t>
      </w:r>
      <w:r w:rsidR="00B87DBF">
        <w:t>нормотворчої техніки</w:t>
      </w:r>
      <w:r>
        <w:t xml:space="preserve">, оскільки </w:t>
      </w:r>
      <w:r w:rsidR="00B87DBF">
        <w:t xml:space="preserve">положення пункту 2 Розділу ІІ проекту </w:t>
      </w:r>
      <w:r>
        <w:t>ма</w:t>
      </w:r>
      <w:r w:rsidR="00B87DBF">
        <w:t>ло</w:t>
      </w:r>
      <w:r>
        <w:t xml:space="preserve"> </w:t>
      </w:r>
      <w:r w:rsidR="00B87DBF">
        <w:t>б</w:t>
      </w:r>
      <w:r>
        <w:t xml:space="preserve"> </w:t>
      </w:r>
      <w:r w:rsidR="00B87DBF">
        <w:t xml:space="preserve">міститися </w:t>
      </w:r>
      <w:r w:rsidR="00336959">
        <w:t xml:space="preserve">не в тілі проекту </w:t>
      </w:r>
      <w:bookmarkStart w:id="0" w:name="_GoBack"/>
      <w:bookmarkEnd w:id="0"/>
      <w:r w:rsidR="00336959">
        <w:t>про внесення змін до деяких законодавчих актів України, а в змінах до Прикінцевих положень</w:t>
      </w:r>
      <w:r w:rsidR="00B87DBF">
        <w:t xml:space="preserve"> </w:t>
      </w:r>
      <w:r>
        <w:t>Закон</w:t>
      </w:r>
      <w:r w:rsidR="00336959">
        <w:t>у</w:t>
      </w:r>
      <w:r>
        <w:t xml:space="preserve"> України «Про особливості державного регулювання діяльності суб’єктів підприємницької діяльності, пов’язаної з реалізацією та експортом лісоматеріалів». </w:t>
      </w:r>
    </w:p>
    <w:p w:rsidR="00B75BFB" w:rsidRDefault="00B75BFB"/>
    <w:p w:rsidR="00B75BFB" w:rsidRDefault="00B75BFB"/>
    <w:p w:rsidR="00B75BFB" w:rsidRPr="00B75BFB" w:rsidRDefault="00B75BFB" w:rsidP="00B75BFB">
      <w:pPr>
        <w:spacing w:after="0"/>
        <w:jc w:val="left"/>
        <w:rPr>
          <w:rFonts w:eastAsia="Times New Roman" w:cs="Times New Roman"/>
          <w:b/>
          <w:bCs/>
          <w:szCs w:val="28"/>
          <w:lang w:eastAsia="ru-RU"/>
        </w:rPr>
      </w:pPr>
      <w:r w:rsidRPr="00B75BFB">
        <w:rPr>
          <w:rFonts w:eastAsia="Times New Roman" w:cs="Times New Roman"/>
          <w:b/>
          <w:bCs/>
          <w:szCs w:val="28"/>
          <w:lang w:eastAsia="ru-RU"/>
        </w:rPr>
        <w:t>Заступник Керівника</w:t>
      </w:r>
    </w:p>
    <w:p w:rsidR="00B75BFB" w:rsidRPr="00B75BFB" w:rsidRDefault="00B75BFB" w:rsidP="00B75BFB">
      <w:pPr>
        <w:spacing w:after="0"/>
        <w:jc w:val="left"/>
        <w:rPr>
          <w:rFonts w:eastAsia="Times New Roman" w:cs="Times New Roman"/>
          <w:szCs w:val="28"/>
          <w:lang w:eastAsia="ru-RU"/>
        </w:rPr>
      </w:pPr>
      <w:r w:rsidRPr="00B75BFB">
        <w:rPr>
          <w:rFonts w:eastAsia="Times New Roman" w:cs="Times New Roman"/>
          <w:b/>
          <w:bCs/>
          <w:szCs w:val="28"/>
          <w:lang w:eastAsia="ru-RU"/>
        </w:rPr>
        <w:t xml:space="preserve">Головного управління </w:t>
      </w:r>
      <w:r w:rsidRPr="00B75BFB">
        <w:rPr>
          <w:rFonts w:eastAsia="Times New Roman" w:cs="Times New Roman"/>
          <w:b/>
          <w:bCs/>
          <w:szCs w:val="28"/>
          <w:lang w:eastAsia="ru-RU"/>
        </w:rPr>
        <w:tab/>
      </w:r>
      <w:r w:rsidRPr="00B75BFB">
        <w:rPr>
          <w:rFonts w:eastAsia="Times New Roman" w:cs="Times New Roman"/>
          <w:b/>
          <w:bCs/>
          <w:szCs w:val="28"/>
          <w:lang w:eastAsia="ru-RU"/>
        </w:rPr>
        <w:tab/>
      </w:r>
      <w:r w:rsidRPr="00B75BFB">
        <w:rPr>
          <w:rFonts w:eastAsia="Times New Roman" w:cs="Times New Roman"/>
          <w:b/>
          <w:bCs/>
          <w:szCs w:val="28"/>
          <w:lang w:eastAsia="ru-RU"/>
        </w:rPr>
        <w:tab/>
      </w:r>
      <w:r w:rsidRPr="00B75BFB">
        <w:rPr>
          <w:rFonts w:eastAsia="Times New Roman" w:cs="Times New Roman"/>
          <w:b/>
          <w:bCs/>
          <w:szCs w:val="28"/>
          <w:lang w:eastAsia="ru-RU"/>
        </w:rPr>
        <w:tab/>
      </w:r>
      <w:r w:rsidRPr="00B75BFB">
        <w:rPr>
          <w:rFonts w:eastAsia="Times New Roman" w:cs="Times New Roman"/>
          <w:b/>
          <w:bCs/>
          <w:szCs w:val="28"/>
          <w:lang w:eastAsia="ru-RU"/>
        </w:rPr>
        <w:tab/>
        <w:t xml:space="preserve">                В.МІЛОВАНОВ</w:t>
      </w:r>
    </w:p>
    <w:p w:rsidR="00B75BFB" w:rsidRPr="00B75BFB" w:rsidRDefault="00B75BFB" w:rsidP="00B75BFB">
      <w:pPr>
        <w:spacing w:after="0"/>
        <w:rPr>
          <w:rFonts w:eastAsia="Times New Roman" w:cs="Times New Roman"/>
          <w:sz w:val="24"/>
          <w:szCs w:val="24"/>
          <w:lang w:eastAsia="ru-RU"/>
        </w:rPr>
      </w:pPr>
    </w:p>
    <w:p w:rsidR="00B75BFB" w:rsidRDefault="00B75BFB"/>
    <w:sectPr w:rsidR="00B75BFB" w:rsidSect="00A804AB">
      <w:footerReference w:type="default" r:id="rId6"/>
      <w:pgSz w:w="11906" w:h="16838"/>
      <w:pgMar w:top="850" w:right="850" w:bottom="850"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4AB" w:rsidRDefault="00A804AB" w:rsidP="00A804AB">
      <w:pPr>
        <w:spacing w:after="0"/>
      </w:pPr>
      <w:r>
        <w:separator/>
      </w:r>
    </w:p>
  </w:endnote>
  <w:endnote w:type="continuationSeparator" w:id="0">
    <w:p w:rsidR="00A804AB" w:rsidRDefault="00A804AB" w:rsidP="00A804A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1483269"/>
      <w:docPartObj>
        <w:docPartGallery w:val="Page Numbers (Bottom of Page)"/>
        <w:docPartUnique/>
      </w:docPartObj>
    </w:sdtPr>
    <w:sdtContent>
      <w:p w:rsidR="00A804AB" w:rsidRDefault="00A804AB">
        <w:pPr>
          <w:pStyle w:val="a9"/>
          <w:jc w:val="center"/>
        </w:pPr>
        <w:r>
          <w:fldChar w:fldCharType="begin"/>
        </w:r>
        <w:r>
          <w:instrText>PAGE   \* MERGEFORMAT</w:instrText>
        </w:r>
        <w:r>
          <w:fldChar w:fldCharType="separate"/>
        </w:r>
        <w:r>
          <w:rPr>
            <w:noProof/>
          </w:rPr>
          <w:t>3</w:t>
        </w:r>
        <w:r>
          <w:fldChar w:fldCharType="end"/>
        </w:r>
      </w:p>
    </w:sdtContent>
  </w:sdt>
  <w:p w:rsidR="00A804AB" w:rsidRDefault="00A804A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4AB" w:rsidRDefault="00A804AB" w:rsidP="00A804AB">
      <w:pPr>
        <w:spacing w:after="0"/>
      </w:pPr>
      <w:r>
        <w:separator/>
      </w:r>
    </w:p>
  </w:footnote>
  <w:footnote w:type="continuationSeparator" w:id="0">
    <w:p w:rsidR="00A804AB" w:rsidRDefault="00A804AB" w:rsidP="00A804A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BFB"/>
    <w:rsid w:val="00000AD6"/>
    <w:rsid w:val="00112AC3"/>
    <w:rsid w:val="002D0859"/>
    <w:rsid w:val="00336959"/>
    <w:rsid w:val="00484BA1"/>
    <w:rsid w:val="006278E5"/>
    <w:rsid w:val="00642F35"/>
    <w:rsid w:val="006C73C4"/>
    <w:rsid w:val="008A1A5D"/>
    <w:rsid w:val="009269D3"/>
    <w:rsid w:val="009A3243"/>
    <w:rsid w:val="00A538D5"/>
    <w:rsid w:val="00A804AB"/>
    <w:rsid w:val="00B60FCA"/>
    <w:rsid w:val="00B75BFB"/>
    <w:rsid w:val="00B87DBF"/>
    <w:rsid w:val="00D41DD7"/>
    <w:rsid w:val="00E076D8"/>
    <w:rsid w:val="00E30A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12495"/>
  <w15:chartTrackingRefBased/>
  <w15:docId w15:val="{7E75B4B4-9C52-4F8F-8A5B-1B68DCEE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76D8"/>
    <w:pPr>
      <w:ind w:left="720"/>
      <w:contextualSpacing/>
    </w:pPr>
  </w:style>
  <w:style w:type="paragraph" w:styleId="a4">
    <w:name w:val="No Spacing"/>
    <w:uiPriority w:val="1"/>
    <w:qFormat/>
    <w:rsid w:val="00D41DD7"/>
    <w:pPr>
      <w:spacing w:after="0"/>
      <w:jc w:val="left"/>
    </w:pPr>
    <w:rPr>
      <w:rFonts w:cstheme="minorBidi"/>
      <w:lang w:val="ru-RU"/>
    </w:rPr>
  </w:style>
  <w:style w:type="paragraph" w:styleId="a5">
    <w:name w:val="Balloon Text"/>
    <w:basedOn w:val="a"/>
    <w:link w:val="a6"/>
    <w:uiPriority w:val="99"/>
    <w:semiHidden/>
    <w:unhideWhenUsed/>
    <w:rsid w:val="00D41DD7"/>
    <w:pPr>
      <w:spacing w:after="0"/>
    </w:pPr>
    <w:rPr>
      <w:rFonts w:ascii="Segoe UI" w:hAnsi="Segoe UI" w:cs="Segoe UI"/>
      <w:sz w:val="18"/>
      <w:szCs w:val="18"/>
    </w:rPr>
  </w:style>
  <w:style w:type="character" w:customStyle="1" w:styleId="a6">
    <w:name w:val="Текст у виносці Знак"/>
    <w:basedOn w:val="a0"/>
    <w:link w:val="a5"/>
    <w:uiPriority w:val="99"/>
    <w:semiHidden/>
    <w:rsid w:val="00D41DD7"/>
    <w:rPr>
      <w:rFonts w:ascii="Segoe UI" w:hAnsi="Segoe UI" w:cs="Segoe UI"/>
      <w:sz w:val="18"/>
      <w:szCs w:val="18"/>
    </w:rPr>
  </w:style>
  <w:style w:type="paragraph" w:styleId="a7">
    <w:name w:val="header"/>
    <w:basedOn w:val="a"/>
    <w:link w:val="a8"/>
    <w:uiPriority w:val="99"/>
    <w:unhideWhenUsed/>
    <w:rsid w:val="00A804AB"/>
    <w:pPr>
      <w:tabs>
        <w:tab w:val="center" w:pos="4819"/>
        <w:tab w:val="right" w:pos="9639"/>
      </w:tabs>
      <w:spacing w:after="0"/>
    </w:pPr>
  </w:style>
  <w:style w:type="character" w:customStyle="1" w:styleId="a8">
    <w:name w:val="Верхній колонтитул Знак"/>
    <w:basedOn w:val="a0"/>
    <w:link w:val="a7"/>
    <w:uiPriority w:val="99"/>
    <w:rsid w:val="00A804AB"/>
  </w:style>
  <w:style w:type="paragraph" w:styleId="a9">
    <w:name w:val="footer"/>
    <w:basedOn w:val="a"/>
    <w:link w:val="aa"/>
    <w:uiPriority w:val="99"/>
    <w:unhideWhenUsed/>
    <w:rsid w:val="00A804AB"/>
    <w:pPr>
      <w:tabs>
        <w:tab w:val="center" w:pos="4819"/>
        <w:tab w:val="right" w:pos="9639"/>
      </w:tabs>
      <w:spacing w:after="0"/>
    </w:pPr>
  </w:style>
  <w:style w:type="character" w:customStyle="1" w:styleId="aa">
    <w:name w:val="Нижній колонтитул Знак"/>
    <w:basedOn w:val="a0"/>
    <w:link w:val="a9"/>
    <w:uiPriority w:val="99"/>
    <w:rsid w:val="00A80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3419</Words>
  <Characters>1950</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Кармаза Олександра Олександрівна</dc:creator>
  <cp:keywords/>
  <dc:description/>
  <cp:lastModifiedBy>Кармаза Олександра Олександрівна</cp:lastModifiedBy>
  <cp:revision>2</cp:revision>
  <cp:lastPrinted>2018-06-06T08:11:00Z</cp:lastPrinted>
  <dcterms:created xsi:type="dcterms:W3CDTF">2018-06-06T08:20:00Z</dcterms:created>
  <dcterms:modified xsi:type="dcterms:W3CDTF">2018-06-06T08:20:00Z</dcterms:modified>
</cp:coreProperties>
</file>